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CC9A4DF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FF3A40A" w:rsidR="00496A80" w:rsidRPr="007C18BC" w:rsidRDefault="00980973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2EC6A4B4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2113FD7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9809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3EAA">
              <w:rPr>
                <w:rFonts w:ascii="Times New Roman" w:hAnsi="Times New Roman"/>
                <w:sz w:val="22"/>
                <w:szCs w:val="22"/>
              </w:rPr>
              <w:t>Орлов</w:t>
            </w:r>
            <w:r w:rsidR="00980973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980973" w:rsidRPr="00F22AB5">
              <w:rPr>
                <w:rFonts w:ascii="Times New Roman" w:hAnsi="Times New Roman"/>
                <w:sz w:val="22"/>
                <w:szCs w:val="22"/>
              </w:rPr>
              <w:t>.</w:t>
            </w:r>
            <w:r w:rsidR="00C63EAA">
              <w:rPr>
                <w:rFonts w:ascii="Times New Roman" w:hAnsi="Times New Roman"/>
                <w:sz w:val="22"/>
                <w:szCs w:val="22"/>
              </w:rPr>
              <w:t>С</w:t>
            </w:r>
            <w:r w:rsidR="00980973" w:rsidRPr="00F22AB5">
              <w:rPr>
                <w:rFonts w:ascii="Times New Roman" w:hAnsi="Times New Roman"/>
                <w:sz w:val="22"/>
                <w:szCs w:val="22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1240FBA8" w:rsidR="00496A80" w:rsidRPr="007C18BC" w:rsidRDefault="00496A80" w:rsidP="0098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</w:t>
            </w:r>
            <w:r w:rsidR="009B3A0E">
              <w:rPr>
                <w:rFonts w:ascii="Times New Roman" w:hAnsi="Times New Roman"/>
                <w:sz w:val="24"/>
              </w:rPr>
              <w:t>_</w:t>
            </w:r>
            <w:r w:rsidRPr="007C18BC">
              <w:rPr>
                <w:rFonts w:ascii="Times New Roman" w:hAnsi="Times New Roman"/>
                <w:sz w:val="24"/>
              </w:rPr>
              <w:t>__» ___________ 20</w:t>
            </w:r>
            <w:r w:rsidR="00980973">
              <w:rPr>
                <w:rFonts w:ascii="Times New Roman" w:hAnsi="Times New Roman"/>
                <w:sz w:val="24"/>
              </w:rPr>
              <w:t>2</w:t>
            </w:r>
            <w:r w:rsidRPr="007C18BC">
              <w:rPr>
                <w:rFonts w:ascii="Times New Roman" w:hAnsi="Times New Roman"/>
                <w:sz w:val="24"/>
              </w:rPr>
              <w:t>1 г.</w:t>
            </w:r>
          </w:p>
        </w:tc>
      </w:tr>
    </w:tbl>
    <w:p w14:paraId="06C39562" w14:textId="26AC3D3A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bookmarkStart w:id="0" w:name="_GoBack"/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27080A" w:rsidRPr="0027080A">
        <w:rPr>
          <w:rStyle w:val="afffff4"/>
          <w:rFonts w:ascii="Times New Roman" w:hAnsi="Times New Roman"/>
          <w:szCs w:val="32"/>
        </w:rPr>
        <w:t>поставка универсаль</w:t>
      </w:r>
      <w:r w:rsidR="0027080A">
        <w:rPr>
          <w:rStyle w:val="afffff4"/>
          <w:rFonts w:ascii="Times New Roman" w:hAnsi="Times New Roman"/>
          <w:szCs w:val="32"/>
        </w:rPr>
        <w:t>ного плоскошлифовального станка</w:t>
      </w:r>
      <w:bookmarkEnd w:id="0"/>
    </w:p>
    <w:p w14:paraId="2BA23987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985B37B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9433B71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34C3C0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EA7106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A2C82E0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8A5AE34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718F12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2E78316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69CC5BF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75B19AA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CF44A19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2CB9BE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29E4F4BE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</w:t>
      </w:r>
      <w:r w:rsidR="00980973">
        <w:rPr>
          <w:rFonts w:ascii="Times New Roman" w:hAnsi="Times New Roman"/>
          <w:sz w:val="24"/>
        </w:rPr>
        <w:t xml:space="preserve"> 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980973">
        <w:rPr>
          <w:rFonts w:ascii="Times New Roman" w:hAnsi="Times New Roman"/>
          <w:sz w:val="24"/>
        </w:rPr>
        <w:t>21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7937F0E4" w14:textId="77777777" w:rsidR="00184431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62493738" w:history="1">
        <w:r w:rsidR="00184431" w:rsidRPr="005120F7">
          <w:rPr>
            <w:rStyle w:val="affa"/>
            <w:rFonts w:ascii="Times New Roman" w:hAnsi="Times New Roman"/>
          </w:rPr>
          <w:t>1.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СОКРАЩЕНИЯ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_Toc62493738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</w:t>
        </w:r>
        <w:r w:rsidR="00184431">
          <w:rPr>
            <w:webHidden/>
          </w:rPr>
          <w:fldChar w:fldCharType="end"/>
        </w:r>
      </w:hyperlink>
    </w:p>
    <w:p w14:paraId="72214C1E" w14:textId="77777777" w:rsidR="00184431" w:rsidRDefault="00DF116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39" w:history="1">
        <w:r w:rsidR="00184431" w:rsidRPr="005120F7">
          <w:rPr>
            <w:rStyle w:val="affa"/>
            <w:rFonts w:ascii="Times New Roman" w:hAnsi="Times New Roman"/>
          </w:rPr>
          <w:t>2.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ТЕРМИНЫ И ОПРЕДЕЛЕНИЯ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_Toc62493739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</w:t>
        </w:r>
        <w:r w:rsidR="00184431">
          <w:rPr>
            <w:webHidden/>
          </w:rPr>
          <w:fldChar w:fldCharType="end"/>
        </w:r>
      </w:hyperlink>
    </w:p>
    <w:p w14:paraId="02720D51" w14:textId="77777777" w:rsidR="00184431" w:rsidRDefault="00DF116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40" w:history="1">
        <w:r w:rsidR="00184431" w:rsidRPr="005120F7">
          <w:rPr>
            <w:rStyle w:val="affa"/>
            <w:rFonts w:ascii="Times New Roman" w:hAnsi="Times New Roman"/>
          </w:rPr>
          <w:t>3.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ПОЛОЖЕНИЯ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6C759DFC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1" w:history="1">
        <w:r w:rsidR="00184431" w:rsidRPr="005120F7">
          <w:rPr>
            <w:rStyle w:val="affa"/>
            <w:rFonts w:ascii="Times New Roman" w:hAnsi="Times New Roman"/>
          </w:rPr>
          <w:t>3.1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сведения о процедуре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773ACA47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2" w:history="1">
        <w:r w:rsidR="00184431" w:rsidRPr="005120F7">
          <w:rPr>
            <w:rStyle w:val="affa"/>
            <w:rFonts w:ascii="Times New Roman" w:hAnsi="Times New Roman"/>
          </w:rPr>
          <w:t>3.2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256EEEC5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3" w:history="1">
        <w:r w:rsidR="00184431" w:rsidRPr="005120F7">
          <w:rPr>
            <w:rStyle w:val="affa"/>
            <w:rFonts w:ascii="Times New Roman" w:hAnsi="Times New Roman"/>
          </w:rPr>
          <w:t>3.3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9</w:t>
        </w:r>
        <w:r w:rsidR="00184431">
          <w:rPr>
            <w:webHidden/>
          </w:rPr>
          <w:fldChar w:fldCharType="end"/>
        </w:r>
      </w:hyperlink>
    </w:p>
    <w:p w14:paraId="2BCAC17A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4" w:history="1">
        <w:r w:rsidR="00184431" w:rsidRPr="005120F7">
          <w:rPr>
            <w:rStyle w:val="affa"/>
            <w:rFonts w:ascii="Times New Roman" w:hAnsi="Times New Roman"/>
          </w:rPr>
          <w:t>3.4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10</w:t>
        </w:r>
        <w:r w:rsidR="00184431">
          <w:rPr>
            <w:webHidden/>
          </w:rPr>
          <w:fldChar w:fldCharType="end"/>
        </w:r>
      </w:hyperlink>
    </w:p>
    <w:p w14:paraId="1C6D2ADB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5" w:history="1">
        <w:r w:rsidR="00184431" w:rsidRPr="005120F7">
          <w:rPr>
            <w:rStyle w:val="affa"/>
            <w:rFonts w:ascii="Times New Roman" w:hAnsi="Times New Roman"/>
          </w:rPr>
          <w:t>3.5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10</w:t>
        </w:r>
        <w:r w:rsidR="00184431">
          <w:rPr>
            <w:webHidden/>
          </w:rPr>
          <w:fldChar w:fldCharType="end"/>
        </w:r>
      </w:hyperlink>
    </w:p>
    <w:p w14:paraId="2311DC9E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6" w:history="1">
        <w:r w:rsidR="00184431" w:rsidRPr="005120F7">
          <w:rPr>
            <w:rStyle w:val="affa"/>
            <w:rFonts w:ascii="Times New Roman" w:hAnsi="Times New Roman"/>
          </w:rPr>
          <w:t>3.6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Обжалование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11</w:t>
        </w:r>
        <w:r w:rsidR="00184431">
          <w:rPr>
            <w:webHidden/>
          </w:rPr>
          <w:fldChar w:fldCharType="end"/>
        </w:r>
      </w:hyperlink>
    </w:p>
    <w:p w14:paraId="7F4950B1" w14:textId="77777777" w:rsidR="00184431" w:rsidRDefault="00DF116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47" w:history="1">
        <w:r w:rsidR="00184431" w:rsidRPr="005120F7">
          <w:rPr>
            <w:rStyle w:val="affa"/>
            <w:rFonts w:ascii="Times New Roman" w:hAnsi="Times New Roman"/>
          </w:rPr>
          <w:t>4.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ПОРЯДОК ПРОВЕДЕНИЯ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3AA99874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8" w:history="1">
        <w:r w:rsidR="00184431" w:rsidRPr="005120F7">
          <w:rPr>
            <w:rStyle w:val="affa"/>
            <w:rFonts w:ascii="Times New Roman" w:hAnsi="Times New Roman"/>
          </w:rPr>
          <w:t>4.1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Общий порядок проведения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174A6140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9" w:history="1">
        <w:r w:rsidR="00184431" w:rsidRPr="005120F7">
          <w:rPr>
            <w:rStyle w:val="affa"/>
            <w:rFonts w:ascii="Times New Roman" w:hAnsi="Times New Roman"/>
          </w:rPr>
          <w:t>4.2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Официальное размещение извещения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1B819630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0" w:history="1">
        <w:r w:rsidR="00184431" w:rsidRPr="005120F7">
          <w:rPr>
            <w:rStyle w:val="affa"/>
            <w:rFonts w:ascii="Times New Roman" w:hAnsi="Times New Roman"/>
          </w:rPr>
          <w:t>4.3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Разъяснение извещения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556B8348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1" w:history="1">
        <w:r w:rsidR="00184431" w:rsidRPr="005120F7">
          <w:rPr>
            <w:rStyle w:val="affa"/>
            <w:rFonts w:ascii="Times New Roman" w:hAnsi="Times New Roman"/>
          </w:rPr>
          <w:t>4.4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Внесение изменений в извещение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15</w:t>
        </w:r>
        <w:r w:rsidR="00184431">
          <w:rPr>
            <w:webHidden/>
          </w:rPr>
          <w:fldChar w:fldCharType="end"/>
        </w:r>
      </w:hyperlink>
    </w:p>
    <w:p w14:paraId="189844D0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2" w:history="1">
        <w:r w:rsidR="00184431" w:rsidRPr="005120F7">
          <w:rPr>
            <w:rStyle w:val="affa"/>
            <w:rFonts w:ascii="Times New Roman" w:eastAsiaTheme="majorEastAsia" w:hAnsi="Times New Roman"/>
          </w:rPr>
          <w:t>4.5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15</w:t>
        </w:r>
        <w:r w:rsidR="00184431">
          <w:rPr>
            <w:webHidden/>
          </w:rPr>
          <w:fldChar w:fldCharType="end"/>
        </w:r>
      </w:hyperlink>
    </w:p>
    <w:p w14:paraId="2494A95E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3" w:history="1">
        <w:r w:rsidR="00184431" w:rsidRPr="005120F7">
          <w:rPr>
            <w:rStyle w:val="affa"/>
            <w:rFonts w:ascii="Times New Roman" w:hAnsi="Times New Roman"/>
          </w:rPr>
          <w:t>4.6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описанию продукции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16</w:t>
        </w:r>
        <w:r w:rsidR="00184431">
          <w:rPr>
            <w:webHidden/>
          </w:rPr>
          <w:fldChar w:fldCharType="end"/>
        </w:r>
      </w:hyperlink>
    </w:p>
    <w:p w14:paraId="763251C3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4" w:history="1">
        <w:r w:rsidR="00184431" w:rsidRPr="005120F7">
          <w:rPr>
            <w:rStyle w:val="affa"/>
            <w:rFonts w:ascii="Times New Roman" w:hAnsi="Times New Roman"/>
          </w:rPr>
          <w:t>4.7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17</w:t>
        </w:r>
        <w:r w:rsidR="00184431">
          <w:rPr>
            <w:webHidden/>
          </w:rPr>
          <w:fldChar w:fldCharType="end"/>
        </w:r>
      </w:hyperlink>
    </w:p>
    <w:p w14:paraId="0377A526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5" w:history="1">
        <w:r w:rsidR="00184431" w:rsidRPr="005120F7">
          <w:rPr>
            <w:rStyle w:val="affa"/>
            <w:rFonts w:ascii="Times New Roman" w:hAnsi="Times New Roman"/>
          </w:rPr>
          <w:t>4.8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Обеспечение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17</w:t>
        </w:r>
        <w:r w:rsidR="00184431">
          <w:rPr>
            <w:webHidden/>
          </w:rPr>
          <w:fldChar w:fldCharType="end"/>
        </w:r>
      </w:hyperlink>
    </w:p>
    <w:p w14:paraId="2007474C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6" w:history="1">
        <w:r w:rsidR="00184431" w:rsidRPr="005120F7">
          <w:rPr>
            <w:rStyle w:val="affa"/>
            <w:rFonts w:ascii="Times New Roman" w:hAnsi="Times New Roman"/>
          </w:rPr>
          <w:t>4.9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Подача заявок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18</w:t>
        </w:r>
        <w:r w:rsidR="00184431">
          <w:rPr>
            <w:webHidden/>
          </w:rPr>
          <w:fldChar w:fldCharType="end"/>
        </w:r>
      </w:hyperlink>
    </w:p>
    <w:p w14:paraId="5246F3B1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7" w:history="1">
        <w:r w:rsidR="00184431" w:rsidRPr="005120F7">
          <w:rPr>
            <w:rStyle w:val="affa"/>
            <w:rFonts w:ascii="Times New Roman" w:hAnsi="Times New Roman"/>
          </w:rPr>
          <w:t>4.10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Изменение или отзыв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19</w:t>
        </w:r>
        <w:r w:rsidR="00184431">
          <w:rPr>
            <w:webHidden/>
          </w:rPr>
          <w:fldChar w:fldCharType="end"/>
        </w:r>
      </w:hyperlink>
    </w:p>
    <w:p w14:paraId="06FFB947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8" w:history="1">
        <w:r w:rsidR="00184431" w:rsidRPr="005120F7">
          <w:rPr>
            <w:rStyle w:val="affa"/>
            <w:rFonts w:ascii="Times New Roman" w:hAnsi="Times New Roman"/>
          </w:rPr>
          <w:t>4.11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Открытие доступа к заявкам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19</w:t>
        </w:r>
        <w:r w:rsidR="00184431">
          <w:rPr>
            <w:webHidden/>
          </w:rPr>
          <w:fldChar w:fldCharType="end"/>
        </w:r>
      </w:hyperlink>
    </w:p>
    <w:p w14:paraId="1B738275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9" w:history="1">
        <w:r w:rsidR="00184431" w:rsidRPr="005120F7">
          <w:rPr>
            <w:rStyle w:val="affa"/>
            <w:rFonts w:ascii="Times New Roman" w:hAnsi="Times New Roman"/>
          </w:rPr>
          <w:t>4.12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20</w:t>
        </w:r>
        <w:r w:rsidR="00184431">
          <w:rPr>
            <w:webHidden/>
          </w:rPr>
          <w:fldChar w:fldCharType="end"/>
        </w:r>
      </w:hyperlink>
    </w:p>
    <w:p w14:paraId="396075AE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0" w:history="1">
        <w:r w:rsidR="00184431" w:rsidRPr="005120F7">
          <w:rPr>
            <w:rStyle w:val="affa"/>
            <w:rFonts w:ascii="Times New Roman" w:hAnsi="Times New Roman"/>
          </w:rPr>
          <w:t>4.13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Открытие</w:t>
        </w:r>
        <w:r w:rsidR="00184431" w:rsidRPr="005120F7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23</w:t>
        </w:r>
        <w:r w:rsidR="00184431">
          <w:rPr>
            <w:webHidden/>
          </w:rPr>
          <w:fldChar w:fldCharType="end"/>
        </w:r>
      </w:hyperlink>
    </w:p>
    <w:p w14:paraId="448F705F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1" w:history="1">
        <w:r w:rsidR="00184431" w:rsidRPr="005120F7">
          <w:rPr>
            <w:rStyle w:val="affa"/>
            <w:rFonts w:ascii="Times New Roman" w:eastAsiaTheme="majorEastAsia" w:hAnsi="Times New Roman"/>
          </w:rPr>
          <w:t>4.14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23</w:t>
        </w:r>
        <w:r w:rsidR="00184431">
          <w:rPr>
            <w:webHidden/>
          </w:rPr>
          <w:fldChar w:fldCharType="end"/>
        </w:r>
      </w:hyperlink>
    </w:p>
    <w:p w14:paraId="4DD6D663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2" w:history="1">
        <w:r w:rsidR="00184431" w:rsidRPr="005120F7">
          <w:rPr>
            <w:rStyle w:val="affa"/>
            <w:rFonts w:ascii="Times New Roman" w:eastAsiaTheme="majorEastAsia" w:hAnsi="Times New Roman"/>
          </w:rPr>
          <w:t>4.15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Отмена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26</w:t>
        </w:r>
        <w:r w:rsidR="00184431">
          <w:rPr>
            <w:webHidden/>
          </w:rPr>
          <w:fldChar w:fldCharType="end"/>
        </w:r>
      </w:hyperlink>
    </w:p>
    <w:p w14:paraId="45EB60B1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3" w:history="1">
        <w:r w:rsidR="00184431" w:rsidRPr="005120F7">
          <w:rPr>
            <w:rStyle w:val="affa"/>
            <w:rFonts w:ascii="Times New Roman" w:eastAsiaTheme="majorEastAsia" w:hAnsi="Times New Roman"/>
          </w:rPr>
          <w:t>4.16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Постквалификация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71E94023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4" w:history="1">
        <w:r w:rsidR="00184431" w:rsidRPr="005120F7">
          <w:rPr>
            <w:rStyle w:val="affa"/>
            <w:rFonts w:ascii="Times New Roman" w:eastAsiaTheme="majorEastAsia" w:hAnsi="Times New Roman"/>
          </w:rPr>
          <w:t>4.17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1C4E76C1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5" w:history="1">
        <w:r w:rsidR="00184431" w:rsidRPr="005120F7">
          <w:rPr>
            <w:rStyle w:val="affa"/>
            <w:rFonts w:ascii="Times New Roman" w:eastAsiaTheme="majorEastAsia" w:hAnsi="Times New Roman"/>
          </w:rPr>
          <w:t>4.18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092E7D4B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6" w:history="1">
        <w:r w:rsidR="00184431" w:rsidRPr="005120F7">
          <w:rPr>
            <w:rStyle w:val="affa"/>
            <w:rFonts w:ascii="Times New Roman" w:eastAsiaTheme="majorEastAsia" w:hAnsi="Times New Roman"/>
          </w:rPr>
          <w:t>4.19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28</w:t>
        </w:r>
        <w:r w:rsidR="00184431">
          <w:rPr>
            <w:webHidden/>
          </w:rPr>
          <w:fldChar w:fldCharType="end"/>
        </w:r>
      </w:hyperlink>
    </w:p>
    <w:p w14:paraId="57895C0B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7" w:history="1">
        <w:r w:rsidR="00184431" w:rsidRPr="005120F7">
          <w:rPr>
            <w:rStyle w:val="affa"/>
            <w:rFonts w:ascii="Times New Roman" w:eastAsiaTheme="majorEastAsia" w:hAnsi="Times New Roman"/>
          </w:rPr>
          <w:t>4.20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33</w:t>
        </w:r>
        <w:r w:rsidR="00184431">
          <w:rPr>
            <w:webHidden/>
          </w:rPr>
          <w:fldChar w:fldCharType="end"/>
        </w:r>
      </w:hyperlink>
    </w:p>
    <w:p w14:paraId="4B9CFBDF" w14:textId="77777777" w:rsidR="00184431" w:rsidRDefault="00DF116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68" w:history="1">
        <w:r w:rsidR="00184431" w:rsidRPr="005120F7">
          <w:rPr>
            <w:rStyle w:val="affa"/>
            <w:rFonts w:ascii="Times New Roman" w:hAnsi="Times New Roman"/>
          </w:rPr>
          <w:t>5.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607766BD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9" w:history="1">
        <w:r w:rsidR="00184431" w:rsidRPr="005120F7">
          <w:rPr>
            <w:rStyle w:val="affa"/>
            <w:rFonts w:ascii="Times New Roman" w:hAnsi="Times New Roman"/>
          </w:rPr>
          <w:t>5.1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5FAD3A7F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0" w:history="1">
        <w:r w:rsidR="00184431" w:rsidRPr="005120F7">
          <w:rPr>
            <w:rStyle w:val="affa"/>
            <w:rFonts w:ascii="Times New Roman" w:hAnsi="Times New Roman"/>
          </w:rPr>
          <w:t>5.2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13AA122D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1" w:history="1">
        <w:r w:rsidR="00184431" w:rsidRPr="005120F7">
          <w:rPr>
            <w:rStyle w:val="affa"/>
            <w:rFonts w:ascii="Times New Roman" w:hAnsi="Times New Roman"/>
          </w:rPr>
          <w:t>5.3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39</w:t>
        </w:r>
        <w:r w:rsidR="00184431">
          <w:rPr>
            <w:webHidden/>
          </w:rPr>
          <w:fldChar w:fldCharType="end"/>
        </w:r>
      </w:hyperlink>
    </w:p>
    <w:p w14:paraId="7E87FB5F" w14:textId="77777777" w:rsidR="00184431" w:rsidRDefault="00DF116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2" w:history="1">
        <w:r w:rsidR="00184431" w:rsidRPr="005120F7">
          <w:rPr>
            <w:rStyle w:val="affa"/>
            <w:rFonts w:ascii="Times New Roman" w:eastAsiaTheme="majorEastAsia" w:hAnsi="Times New Roman"/>
          </w:rPr>
          <w:t>6.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41</w:t>
        </w:r>
        <w:r w:rsidR="00184431">
          <w:rPr>
            <w:webHidden/>
          </w:rPr>
          <w:fldChar w:fldCharType="end"/>
        </w:r>
      </w:hyperlink>
    </w:p>
    <w:p w14:paraId="41C3601A" w14:textId="77777777" w:rsidR="00184431" w:rsidRDefault="00DF116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3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49</w:t>
        </w:r>
        <w:r w:rsidR="00184431">
          <w:rPr>
            <w:webHidden/>
          </w:rPr>
          <w:fldChar w:fldCharType="end"/>
        </w:r>
      </w:hyperlink>
    </w:p>
    <w:p w14:paraId="7F4A9132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4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49</w:t>
        </w:r>
        <w:r w:rsidR="00184431">
          <w:rPr>
            <w:webHidden/>
          </w:rPr>
          <w:fldChar w:fldCharType="end"/>
        </w:r>
      </w:hyperlink>
    </w:p>
    <w:p w14:paraId="6AB11D81" w14:textId="77777777" w:rsidR="00184431" w:rsidRDefault="00DF116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5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55</w:t>
        </w:r>
        <w:r w:rsidR="00184431">
          <w:rPr>
            <w:webHidden/>
          </w:rPr>
          <w:fldChar w:fldCharType="end"/>
        </w:r>
      </w:hyperlink>
    </w:p>
    <w:p w14:paraId="27C5BEE6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6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55</w:t>
        </w:r>
        <w:r w:rsidR="00184431">
          <w:rPr>
            <w:webHidden/>
          </w:rPr>
          <w:fldChar w:fldCharType="end"/>
        </w:r>
      </w:hyperlink>
    </w:p>
    <w:p w14:paraId="683939A5" w14:textId="77777777" w:rsidR="00184431" w:rsidRDefault="00DF116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7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57</w:t>
        </w:r>
        <w:r w:rsidR="00184431">
          <w:rPr>
            <w:webHidden/>
          </w:rPr>
          <w:fldChar w:fldCharType="end"/>
        </w:r>
      </w:hyperlink>
    </w:p>
    <w:p w14:paraId="766562B4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8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57</w:t>
        </w:r>
        <w:r w:rsidR="00184431">
          <w:rPr>
            <w:webHidden/>
          </w:rPr>
          <w:fldChar w:fldCharType="end"/>
        </w:r>
      </w:hyperlink>
    </w:p>
    <w:p w14:paraId="2A888595" w14:textId="77777777" w:rsidR="00184431" w:rsidRDefault="00DF116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9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60</w:t>
        </w:r>
        <w:r w:rsidR="00184431">
          <w:rPr>
            <w:webHidden/>
          </w:rPr>
          <w:fldChar w:fldCharType="end"/>
        </w:r>
      </w:hyperlink>
    </w:p>
    <w:p w14:paraId="52797813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0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60</w:t>
        </w:r>
        <w:r w:rsidR="00184431">
          <w:rPr>
            <w:webHidden/>
          </w:rPr>
          <w:fldChar w:fldCharType="end"/>
        </w:r>
      </w:hyperlink>
    </w:p>
    <w:p w14:paraId="19004DAB" w14:textId="77777777" w:rsidR="00184431" w:rsidRDefault="00DF116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81" w:history="1">
        <w:r w:rsidR="00184431" w:rsidRPr="005120F7">
          <w:rPr>
            <w:rStyle w:val="affa"/>
            <w:rFonts w:ascii="Times New Roman" w:eastAsiaTheme="majorEastAsia" w:hAnsi="Times New Roman"/>
          </w:rPr>
          <w:t>7.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61</w:t>
        </w:r>
        <w:r w:rsidR="00184431">
          <w:rPr>
            <w:webHidden/>
          </w:rPr>
          <w:fldChar w:fldCharType="end"/>
        </w:r>
      </w:hyperlink>
    </w:p>
    <w:p w14:paraId="3BB047A7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2" w:history="1">
        <w:r w:rsidR="00184431" w:rsidRPr="005120F7">
          <w:rPr>
            <w:rStyle w:val="affa"/>
            <w:rFonts w:ascii="Times New Roman" w:hAnsi="Times New Roman"/>
          </w:rPr>
          <w:t>7.1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Заявка (форма 1)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61</w:t>
        </w:r>
        <w:r w:rsidR="00184431">
          <w:rPr>
            <w:webHidden/>
          </w:rPr>
          <w:fldChar w:fldCharType="end"/>
        </w:r>
      </w:hyperlink>
    </w:p>
    <w:p w14:paraId="74B9A3C9" w14:textId="77777777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3" w:history="1">
        <w:r w:rsidR="00184431" w:rsidRPr="005120F7">
          <w:rPr>
            <w:rStyle w:val="affa"/>
            <w:rFonts w:ascii="Times New Roman" w:hAnsi="Times New Roman"/>
          </w:rPr>
          <w:t>7.2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Техническое предложение (форма 2)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66</w:t>
        </w:r>
        <w:r w:rsidR="00184431">
          <w:rPr>
            <w:webHidden/>
          </w:rPr>
          <w:fldChar w:fldCharType="end"/>
        </w:r>
      </w:hyperlink>
    </w:p>
    <w:p w14:paraId="44BA64B7" w14:textId="2C9BE99A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4" w:history="1">
        <w:r w:rsidR="00184431" w:rsidRPr="005120F7">
          <w:rPr>
            <w:rStyle w:val="affa"/>
            <w:rFonts w:ascii="Times New Roman" w:hAnsi="Times New Roman"/>
          </w:rPr>
          <w:t>7.3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62493787" w:history="1"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35753C">
          <w:rPr>
            <w:rStyle w:val="affa"/>
            <w:rFonts w:ascii="Times New Roman" w:hAnsi="Times New Roman"/>
          </w:rPr>
          <w:t>3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74</w:t>
        </w:r>
        <w:r w:rsidR="00184431">
          <w:rPr>
            <w:webHidden/>
          </w:rPr>
          <w:fldChar w:fldCharType="end"/>
        </w:r>
      </w:hyperlink>
    </w:p>
    <w:p w14:paraId="3DB69932" w14:textId="34DD62C4" w:rsidR="00184431" w:rsidRDefault="00DF11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8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1D1BB1">
          <w:rPr>
            <w:rStyle w:val="affa"/>
            <w:rFonts w:ascii="Times New Roman" w:hAnsi="Times New Roman"/>
          </w:rPr>
          <w:t>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35753C">
          <w:rPr>
            <w:rStyle w:val="affa"/>
            <w:rFonts w:ascii="Times New Roman" w:hAnsi="Times New Roman"/>
          </w:rPr>
          <w:t>4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75</w:t>
        </w:r>
        <w:r w:rsidR="00184431">
          <w:rPr>
            <w:webHidden/>
          </w:rPr>
          <w:fldChar w:fldCharType="end"/>
        </w:r>
      </w:hyperlink>
    </w:p>
    <w:p w14:paraId="7006F5F6" w14:textId="758A1200" w:rsidR="002D6643" w:rsidRDefault="00DF1165" w:rsidP="002D6643">
      <w:pPr>
        <w:pStyle w:val="35"/>
      </w:pPr>
      <w:hyperlink w:anchor="_Toc62493789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35753C">
          <w:rPr>
            <w:rStyle w:val="affa"/>
            <w:rFonts w:ascii="Times New Roman" w:hAnsi="Times New Roman"/>
          </w:rPr>
          <w:t>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Ценовое предложение (форма </w:t>
        </w:r>
        <w:r w:rsidR="0035753C">
          <w:rPr>
            <w:rStyle w:val="affa"/>
            <w:rFonts w:ascii="Times New Roman" w:hAnsi="Times New Roman"/>
          </w:rPr>
          <w:t>5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77</w:t>
        </w:r>
        <w:r w:rsidR="00184431">
          <w:rPr>
            <w:webHidden/>
          </w:rPr>
          <w:fldChar w:fldCharType="end"/>
        </w:r>
      </w:hyperlink>
    </w:p>
    <w:p w14:paraId="0B6B9C2A" w14:textId="5616D162" w:rsidR="00184431" w:rsidRDefault="00DF1165" w:rsidP="002D664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91" w:history="1">
        <w:r w:rsidR="00184431" w:rsidRPr="005120F7">
          <w:rPr>
            <w:rStyle w:val="affa"/>
            <w:rFonts w:ascii="Times New Roman" w:hAnsi="Times New Roman"/>
          </w:rPr>
          <w:t>8.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ПРОЕКТ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79</w:t>
        </w:r>
        <w:r w:rsidR="00184431">
          <w:rPr>
            <w:webHidden/>
          </w:rPr>
          <w:fldChar w:fldCharType="end"/>
        </w:r>
      </w:hyperlink>
    </w:p>
    <w:p w14:paraId="3A52AB1C" w14:textId="77777777" w:rsidR="00184431" w:rsidRDefault="00DF116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92" w:history="1">
        <w:r w:rsidR="00184431" w:rsidRPr="005120F7">
          <w:rPr>
            <w:rStyle w:val="affa"/>
            <w:rFonts w:ascii="Times New Roman" w:hAnsi="Times New Roman"/>
          </w:rPr>
          <w:t>9.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80</w:t>
        </w:r>
        <w:r w:rsidR="00184431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6249373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62493739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62493740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6249374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6249374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6249374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6249374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6249374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847CD1B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5945342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064AFA0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6569107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6249374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0206A512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lastRenderedPageBreak/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lastRenderedPageBreak/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184431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53F749C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50D53D04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lastRenderedPageBreak/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62493747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6249374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F92B35F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D010916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144B3295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C0F6B24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37F5D15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C6C2FB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6249374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6249375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03920F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7AB33AC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6249375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6249375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291E5C82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62493753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0CCFAF50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6853980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62493754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FFBA82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62493755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46E08E0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C576220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62493756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F5C3CEA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lastRenderedPageBreak/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099CE4D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6249375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478C2C06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62493758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6781CA07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184431" w:rsidRPr="00C64539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</w:t>
      </w:r>
      <w:r w:rsidR="004F4CAD" w:rsidRPr="00DC0D09">
        <w:rPr>
          <w:rFonts w:ascii="Times New Roman" w:hAnsi="Times New Roman"/>
          <w:sz w:val="24"/>
          <w:szCs w:val="24"/>
        </w:rPr>
        <w:lastRenderedPageBreak/>
        <w:t>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62493759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7930654D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0AB375A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377659D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68223C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4303D19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48D757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lastRenderedPageBreak/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7.8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4ECC2C0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09C2356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5EE9C3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3E059A8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 w:rsidRPr="00980973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301F2F">
        <w:rPr>
          <w:rFonts w:ascii="Times New Roman" w:hAnsi="Times New Roman"/>
          <w:sz w:val="24"/>
        </w:rPr>
        <w:lastRenderedPageBreak/>
        <w:t>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7A878B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4E45840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lastRenderedPageBreak/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62493760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заявок. Информация о ценовых предложениях </w:t>
      </w:r>
      <w:r w:rsidRPr="00DC0D09">
        <w:rPr>
          <w:rFonts w:ascii="Times New Roman" w:hAnsi="Times New Roman"/>
          <w:sz w:val="24"/>
          <w:szCs w:val="24"/>
        </w:rPr>
        <w:lastRenderedPageBreak/>
        <w:t>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62493761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184431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771A936C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lastRenderedPageBreak/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lastRenderedPageBreak/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62493762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62493763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62493764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62493765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15B7BF3C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184431" w:rsidRPr="00C64539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184431" w:rsidRPr="00C64539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62493766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4530237C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5B29EA21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_Ref314250951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 w:rsidRPr="007C18BC">
        <w:rPr>
          <w:rFonts w:ascii="Times New Roman" w:hAnsi="Times New Roman"/>
          <w:sz w:val="24"/>
        </w:rPr>
        <w:t>Техническое предложение (форма </w:t>
      </w:r>
      <w:r w:rsidR="00184431">
        <w:rPr>
          <w:rFonts w:ascii="Times New Roman" w:hAnsi="Times New Roman"/>
          <w:noProof/>
          <w:sz w:val="24"/>
        </w:rPr>
        <w:t>2</w:t>
      </w:r>
      <w:r w:rsidR="00184431" w:rsidRPr="007C18BC">
        <w:rPr>
          <w:rFonts w:ascii="Times New Roman" w:hAnsi="Times New Roman"/>
          <w:sz w:val="24"/>
        </w:rPr>
        <w:t>)</w:t>
      </w:r>
      <w:r w:rsidR="002717F8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68FE00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21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  <w:r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669BDB7F" w14:textId="3233D9ED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184431">
        <w:rPr>
          <w:rFonts w:ascii="Times New Roman" w:eastAsiaTheme="majorEastAsia" w:hAnsi="Times New Roman"/>
          <w:bCs/>
          <w:sz w:val="24"/>
        </w:rPr>
        <w:t>4.19.12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207CDC0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62493767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306D2FD1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7D04282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3B947069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62493768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62493769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5809F11C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07395B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4E3550E6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62493770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25679277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1.7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F256CB6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19C857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184431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62493771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80F3F4D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84431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84431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62493772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28CD3C7B" w14:textId="69904D87" w:rsidR="0027080A" w:rsidRPr="0027080A" w:rsidRDefault="0027080A" w:rsidP="00270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универсального плоскошлифовального станка.</w:t>
            </w:r>
          </w:p>
          <w:p w14:paraId="01A9C0BE" w14:textId="38B592CB" w:rsidR="0075298C" w:rsidRPr="000A72BA" w:rsidRDefault="0075298C" w:rsidP="002D5C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2D04930D" w14:textId="70E74932" w:rsidR="004A4A34" w:rsidRDefault="004A4A34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2021-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27080A">
              <w:rPr>
                <w:rFonts w:ascii="Times New Roman" w:hAnsi="Times New Roman"/>
                <w:bCs/>
                <w:sz w:val="24"/>
              </w:rPr>
              <w:t>275</w:t>
            </w:r>
          </w:p>
          <w:p w14:paraId="4F7A4E09" w14:textId="07F2B974" w:rsidR="00A710AF" w:rsidRPr="007C18BC" w:rsidRDefault="00A710AF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ACCFF24" w14:textId="77777777" w:rsidR="004A4A34" w:rsidRPr="001C2138" w:rsidRDefault="004A4A34" w:rsidP="004A4A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556505CF" w14:textId="77777777" w:rsidR="004A4A34" w:rsidRPr="001C2138" w:rsidRDefault="004A4A34" w:rsidP="004A4A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1F9CA83F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57EF4EC1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12AD2219" w14:textId="77777777" w:rsidR="004A4A34" w:rsidRPr="001C2138" w:rsidRDefault="004A4A34" w:rsidP="004A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701E6B6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3EFC8E7D" w:rsidR="001A26F1" w:rsidRPr="007C18BC" w:rsidRDefault="004A4A34" w:rsidP="004A4A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6CBF744C" w:rsidR="004A4A34" w:rsidRPr="007C18BC" w:rsidRDefault="0075298C" w:rsidP="004A4A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9F317FD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95B71B" w:rsidR="004A4A34" w:rsidRPr="007C18BC" w:rsidRDefault="0075298C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привлекается</w:t>
            </w:r>
          </w:p>
          <w:p w14:paraId="60A22562" w14:textId="6239754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5564FDF4" w:rsidR="0075298C" w:rsidRPr="007C18BC" w:rsidRDefault="004A4A34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9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7307A389" w:rsidR="00875D33" w:rsidRPr="004A4A34" w:rsidRDefault="00A26C33" w:rsidP="00C339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54 400</w:t>
            </w:r>
            <w:r w:rsidR="002D5C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D5C00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пятьдесят четыре тысячи четыреста</w:t>
            </w:r>
            <w:r w:rsidR="002D5C00">
              <w:rPr>
                <w:rFonts w:ascii="Times New Roman" w:hAnsi="Times New Roman"/>
                <w:sz w:val="24"/>
              </w:rPr>
              <w:t xml:space="preserve">) </w:t>
            </w:r>
            <w:r w:rsidR="00C3392B">
              <w:rPr>
                <w:rFonts w:ascii="Times New Roman" w:hAnsi="Times New Roman"/>
                <w:sz w:val="24"/>
                <w:lang w:val="en-US"/>
              </w:rPr>
              <w:t>USD</w:t>
            </w:r>
            <w:r w:rsidR="002D5C00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3D94AD3C" w:rsidR="00875D33" w:rsidRPr="00C3392B" w:rsidRDefault="00C3392B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3392B">
              <w:rPr>
                <w:rFonts w:ascii="Times New Roman" w:eastAsiaTheme="majorEastAsia" w:hAnsi="Times New Roman"/>
                <w:bCs/>
                <w:sz w:val="24"/>
                <w:lang w:val="en-US"/>
              </w:rPr>
              <w:t>USD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66F1D899" w:rsidR="005B4CD4" w:rsidRPr="007C18BC" w:rsidRDefault="00DB77F6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529EFE6" w:rsidR="00C55816" w:rsidRPr="007C18BC" w:rsidRDefault="00DB77F6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4E5145C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34AE409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799B051B" w:rsidR="004F5AC3" w:rsidRPr="00A26C33" w:rsidRDefault="00A26C33" w:rsidP="00A26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осуществляются в течение 180 (ста восьмидесяти) дней после подписания договора с возможностью досрочной поставки. С 09-00 до 17-00 в любой день, кроме праздничных (общероссийских) и выходных дней, с предварительным уведомлением за 2 (два) дня до поставки на склад Покупателя.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4F01CC60" w:rsidR="00C55816" w:rsidRPr="007C18BC" w:rsidRDefault="00BD666C" w:rsidP="00021945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– по форме Технического предложения, установленной в подразделе </w:t>
            </w:r>
            <w:r w:rsidRPr="00E72FBB">
              <w:fldChar w:fldCharType="begin"/>
            </w:r>
            <w:r w:rsidRPr="00E72FBB">
              <w:instrText xml:space="preserve"> REF _Ref314250951 \r \h  \* MERGEFORMAT </w:instrText>
            </w:r>
            <w:r w:rsidRPr="00E72FBB">
              <w:fldChar w:fldCharType="separate"/>
            </w:r>
            <w:r w:rsidRPr="00A0701A">
              <w:rPr>
                <w:rFonts w:ascii="Times New Roman" w:hAnsi="Times New Roman"/>
                <w:sz w:val="24"/>
              </w:rPr>
              <w:t>7.2</w:t>
            </w:r>
            <w:r w:rsidRPr="00E72FBB"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5" w:name="_Ref415775147"/>
          </w:p>
        </w:tc>
        <w:bookmarkEnd w:id="605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2D8BA56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4F713741" w:rsidR="00C55816" w:rsidRPr="007C18BC" w:rsidRDefault="00C55816" w:rsidP="00DB77F6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414293795"/>
          </w:p>
        </w:tc>
        <w:bookmarkEnd w:id="606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561936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4298492"/>
          </w:p>
        </w:tc>
        <w:bookmarkEnd w:id="607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4B61B322" w:rsidR="002A715A" w:rsidRPr="007C18BC" w:rsidRDefault="002A715A" w:rsidP="006A28F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7E2206D3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414042545"/>
          </w:p>
        </w:tc>
        <w:bookmarkEnd w:id="608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7A6CC6EF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A18A973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971406"/>
          </w:p>
        </w:tc>
        <w:bookmarkEnd w:id="609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57332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415852011"/>
          </w:p>
        </w:tc>
        <w:bookmarkEnd w:id="610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1" w:name="_Ref414298333"/>
          </w:p>
        </w:tc>
        <w:bookmarkEnd w:id="611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524F73BB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4D179E3B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5484151"/>
          </w:p>
        </w:tc>
        <w:bookmarkEnd w:id="612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3" w:name="_Ref314162898"/>
          </w:p>
        </w:tc>
        <w:bookmarkEnd w:id="613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4" w:name="_Ref314163382"/>
          </w:p>
        </w:tc>
        <w:bookmarkEnd w:id="614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164EA880" w14:textId="3BB8E8EC" w:rsidR="00DB77F6" w:rsidRPr="00B10002" w:rsidRDefault="00DB77F6" w:rsidP="00DB77F6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A26C3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="005609E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5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A26C3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мая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и до 16 ч. 00 мин. «</w:t>
            </w:r>
            <w:r w:rsidR="005609E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02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A26C3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июня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62A2FA9C" w:rsidR="006E7B2B" w:rsidRPr="007C18BC" w:rsidRDefault="00DB77F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5" w:name="_Ref455178207"/>
          </w:p>
        </w:tc>
        <w:bookmarkEnd w:id="615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19CBFF2E" w:rsidR="00C55816" w:rsidRPr="007C18BC" w:rsidRDefault="00DB77F6" w:rsidP="005609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A26C33">
              <w:rPr>
                <w:rFonts w:ascii="Times New Roman" w:hAnsi="Times New Roman"/>
                <w:bCs/>
                <w:sz w:val="24"/>
              </w:rPr>
              <w:t>2</w:t>
            </w:r>
            <w:r w:rsidR="005609E6">
              <w:rPr>
                <w:rFonts w:ascii="Times New Roman" w:hAnsi="Times New Roman"/>
                <w:bCs/>
                <w:sz w:val="24"/>
              </w:rPr>
              <w:t>5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A26C33">
              <w:rPr>
                <w:rFonts w:ascii="Times New Roman" w:hAnsi="Times New Roman"/>
                <w:bCs/>
                <w:sz w:val="24"/>
              </w:rPr>
              <w:t>мая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5609E6">
              <w:rPr>
                <w:rFonts w:ascii="Times New Roman" w:hAnsi="Times New Roman"/>
                <w:bCs/>
                <w:sz w:val="24"/>
              </w:rPr>
              <w:t>31</w:t>
            </w:r>
            <w:r w:rsidR="00021945">
              <w:rPr>
                <w:rFonts w:ascii="Times New Roman" w:hAnsi="Times New Roman"/>
                <w:bCs/>
                <w:sz w:val="24"/>
              </w:rPr>
              <w:t>» </w:t>
            </w:r>
            <w:r w:rsidR="00A26C33">
              <w:rPr>
                <w:rFonts w:ascii="Times New Roman" w:hAnsi="Times New Roman"/>
                <w:bCs/>
                <w:sz w:val="24"/>
              </w:rPr>
              <w:t>мая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6" w:name="_Ref414987457"/>
          </w:p>
        </w:tc>
        <w:bookmarkEnd w:id="616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5E4B5B12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коммуникационной сети «Интернет»: </w:t>
            </w:r>
            <w:hyperlink r:id="rId20" w:tgtFrame="_blank" w:history="1">
              <w:r w:rsidR="00DB77F6" w:rsidRPr="00B10002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DB77F6" w:rsidRPr="00B10002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7" w:name="_Ref314163946"/>
          </w:p>
        </w:tc>
        <w:bookmarkEnd w:id="617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78A3416C" w:rsidR="00C55816" w:rsidRPr="007C18BC" w:rsidRDefault="00DB77F6" w:rsidP="005609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A26C33">
              <w:rPr>
                <w:rFonts w:ascii="Times New Roman" w:hAnsi="Times New Roman"/>
                <w:bCs/>
                <w:spacing w:val="-6"/>
                <w:sz w:val="24"/>
              </w:rPr>
              <w:t>0</w:t>
            </w:r>
            <w:r w:rsidR="005609E6">
              <w:rPr>
                <w:rFonts w:ascii="Times New Roman" w:hAnsi="Times New Roman"/>
                <w:bCs/>
                <w:spacing w:val="-6"/>
                <w:sz w:val="24"/>
              </w:rPr>
              <w:t>8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A26C33">
              <w:rPr>
                <w:rFonts w:ascii="Times New Roman" w:hAnsi="Times New Roman"/>
                <w:bCs/>
                <w:spacing w:val="-6"/>
                <w:sz w:val="24"/>
              </w:rPr>
              <w:t>июня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21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8" w:name="_Ref415852052"/>
          </w:p>
        </w:tc>
        <w:bookmarkEnd w:id="618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8C477A0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264A689E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18F9E43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9" w:name="_Ref525133077"/>
          </w:p>
        </w:tc>
        <w:bookmarkEnd w:id="619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089D4DD9" w:rsidR="00255D76" w:rsidRPr="00DC778A" w:rsidRDefault="00DB77F6" w:rsidP="005609E6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5609E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A26C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A26C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июня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21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0" w:name="_Ref414275666"/>
          </w:p>
        </w:tc>
        <w:bookmarkEnd w:id="620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1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2" w:name="_Ref293496737"/>
            <w:bookmarkEnd w:id="621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2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3" w:name="_Ref525138135"/>
          </w:p>
        </w:tc>
        <w:bookmarkEnd w:id="623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4" w:name="_Ref415249171"/>
          </w:p>
        </w:tc>
        <w:bookmarkEnd w:id="624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8A646D7" w:rsidR="00DB77F6" w:rsidRPr="007C18BC" w:rsidRDefault="00C5581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4DF8944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5" w:name="_Ref314164684"/>
          </w:p>
        </w:tc>
        <w:bookmarkEnd w:id="625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152392B0" w:rsidR="00C55816" w:rsidRPr="007C18BC" w:rsidRDefault="00DB77F6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6" w:name="_Ref414297262"/>
          </w:p>
        </w:tc>
        <w:bookmarkEnd w:id="626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7" w:name="_Ref314164788"/>
          </w:p>
        </w:tc>
        <w:bookmarkEnd w:id="627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34D56591" w14:textId="72C0B3EF" w:rsidR="002D5C00" w:rsidRPr="007C18BC" w:rsidRDefault="00F55D98" w:rsidP="002D5C0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8" w:name="_Ref307221503"/>
            <w:r>
              <w:rPr>
                <w:rFonts w:ascii="Times New Roman" w:hAnsi="Times New Roman"/>
                <w:sz w:val="24"/>
              </w:rPr>
              <w:t>Не т</w:t>
            </w:r>
            <w:r w:rsidR="002D5C00" w:rsidRPr="007C18BC">
              <w:rPr>
                <w:rFonts w:ascii="Times New Roman" w:hAnsi="Times New Roman"/>
                <w:sz w:val="24"/>
              </w:rPr>
              <w:t xml:space="preserve">ребуется </w:t>
            </w:r>
          </w:p>
          <w:bookmarkEnd w:id="628"/>
          <w:p w14:paraId="6922DB3B" w14:textId="76A3D08F" w:rsidR="00356387" w:rsidRPr="00356387" w:rsidRDefault="00356387" w:rsidP="00F55D98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9" w:name="_Ref414648488"/>
          </w:p>
        </w:tc>
        <w:bookmarkEnd w:id="629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B7BE1BD" w14:textId="77777777" w:rsidR="00DB77F6" w:rsidRPr="00B10002" w:rsidRDefault="00DB77F6" w:rsidP="00DB7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2A8FD7BE" w14:textId="77777777" w:rsidR="00DB77F6" w:rsidRPr="00B10002" w:rsidRDefault="00DB77F6" w:rsidP="00DB7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1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6B5463D2" w:rsidR="0046009B" w:rsidRPr="007C18BC" w:rsidRDefault="00DB77F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0" w:name="_Ref266996979"/>
      <w:bookmarkStart w:id="631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62493773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62493774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1F865A4A" w:rsidR="00C93137" w:rsidRPr="007C18BC" w:rsidRDefault="00C93137" w:rsidP="00DB77F6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1"/>
          </w:p>
        </w:tc>
        <w:bookmarkEnd w:id="634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184431">
            <w:pPr>
              <w:pStyle w:val="a"/>
              <w:numPr>
                <w:ilvl w:val="0"/>
                <w:numId w:val="3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184431">
            <w:pPr>
              <w:pStyle w:val="a"/>
              <w:numPr>
                <w:ilvl w:val="0"/>
                <w:numId w:val="3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5DB74F6C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5C6ECF54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7777777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2214B557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7"/>
          </w:p>
        </w:tc>
        <w:bookmarkEnd w:id="635"/>
        <w:tc>
          <w:tcPr>
            <w:tcW w:w="4820" w:type="dxa"/>
            <w:shd w:val="clear" w:color="auto" w:fill="auto"/>
          </w:tcPr>
          <w:p w14:paraId="09741AEC" w14:textId="60A41654" w:rsidR="00ED0434" w:rsidRPr="007C18BC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0F7D8CB2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C52FFB" w14:textId="6F6644B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36" w:name="_Ref48650605"/>
            <w:r>
              <w:rPr>
                <w:rFonts w:ascii="Times New Roman" w:hAnsi="Times New Roman"/>
                <w:sz w:val="24"/>
              </w:rPr>
              <w:t xml:space="preserve">Непривлечение </w:t>
            </w:r>
            <w:r w:rsidRPr="000C7A7F">
              <w:rPr>
                <w:rFonts w:ascii="Times New Roman" w:hAnsi="Times New Roman"/>
                <w:sz w:val="24"/>
              </w:rPr>
              <w:t>участник</w:t>
            </w:r>
            <w:r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Pr="000C7A7F">
              <w:rPr>
                <w:rFonts w:ascii="Times New Roman" w:hAnsi="Times New Roman"/>
                <w:sz w:val="24"/>
              </w:rPr>
              <w:t xml:space="preserve">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36"/>
          </w:p>
        </w:tc>
        <w:tc>
          <w:tcPr>
            <w:tcW w:w="4678" w:type="dxa"/>
          </w:tcPr>
          <w:p w14:paraId="55CE72A5" w14:textId="5E8B4415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2445F935" w:rsidR="00052674" w:rsidRPr="007C18BC" w:rsidRDefault="002717F8" w:rsidP="0005267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i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6F440FE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122A36D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2717F8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FBFB50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2AC62C9" w:rsidR="002717F8" w:rsidRPr="007C18BC" w:rsidRDefault="002717F8" w:rsidP="005E0C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прав на объекты интеллектуальной собственности</w:t>
            </w:r>
            <w:r w:rsidR="000526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78" w:type="dxa"/>
          </w:tcPr>
          <w:p w14:paraId="62B7582C" w14:textId="03A58A40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00B56E1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5F10FD34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052674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2717F8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2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2717F8" w:rsidRPr="0061579A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3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62493775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62493776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23AC8AFC" w:rsidR="003A6609" w:rsidRPr="007C18BC" w:rsidRDefault="003A6609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184431">
            <w:pPr>
              <w:pStyle w:val="5"/>
              <w:numPr>
                <w:ilvl w:val="0"/>
                <w:numId w:val="23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6914E997" w:rsidR="00522DDB" w:rsidRPr="007C18BC" w:rsidRDefault="00522DDB" w:rsidP="00522DD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>цена договора.</w:t>
            </w:r>
          </w:p>
          <w:p w14:paraId="3FCDB593" w14:textId="6252405D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6D94B822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69DCE04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</w:t>
      </w:r>
      <w:r w:rsidR="0035753C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 xml:space="preserve">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62493777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62493778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AE2855D" w:rsidR="00975958" w:rsidRPr="007C18BC" w:rsidRDefault="004E0756" w:rsidP="0005267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5707AFE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184431">
              <w:rPr>
                <w:rFonts w:ascii="Times New Roman" w:hAnsi="Times New Roman"/>
                <w:sz w:val="24"/>
              </w:rPr>
              <w:t>1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98AEC6B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184431">
              <w:rPr>
                <w:rFonts w:ascii="Times New Roman" w:hAnsi="Times New Roman"/>
                <w:sz w:val="24"/>
              </w:rPr>
              <w:t>2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30583014"/>
          </w:p>
        </w:tc>
        <w:bookmarkEnd w:id="647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4CF7C449" w:rsidR="00D36D84" w:rsidRPr="007C18BC" w:rsidRDefault="00D36D84" w:rsidP="00052674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67D241A3" w:rsidR="00D36D84" w:rsidRPr="007C18BC" w:rsidRDefault="001A34B4" w:rsidP="00052674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052674">
              <w:rPr>
                <w:rFonts w:ascii="Times New Roman" w:hAnsi="Times New Roman"/>
                <w:sz w:val="24"/>
              </w:rPr>
              <w:t>3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052674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419730165"/>
          </w:p>
        </w:tc>
        <w:bookmarkEnd w:id="648"/>
        <w:tc>
          <w:tcPr>
            <w:tcW w:w="9072" w:type="dxa"/>
          </w:tcPr>
          <w:p w14:paraId="39A6AC92" w14:textId="2C1FB134" w:rsidR="00D36D84" w:rsidRPr="007C18BC" w:rsidRDefault="008A4076" w:rsidP="00052674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052674">
              <w:rPr>
                <w:rFonts w:ascii="Times New Roman" w:hAnsi="Times New Roman"/>
                <w:sz w:val="24"/>
              </w:rPr>
              <w:t>4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052674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2D413588" w:rsidR="000D03A7" w:rsidRPr="00740CA5" w:rsidRDefault="000D03A7" w:rsidP="000526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36EA46A8" w:rsidR="000D03A7" w:rsidRPr="0061579A" w:rsidRDefault="000D03A7" w:rsidP="0035753C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184431" w:rsidRPr="00211527">
              <w:rPr>
                <w:rFonts w:ascii="Times New Roman" w:hAnsi="Times New Roman"/>
                <w:sz w:val="24"/>
              </w:rPr>
              <w:t>(форма </w:t>
            </w:r>
            <w:r w:rsidR="0035753C">
              <w:rPr>
                <w:rFonts w:ascii="Times New Roman" w:hAnsi="Times New Roman"/>
                <w:sz w:val="24"/>
              </w:rPr>
              <w:t>5</w:t>
            </w:r>
            <w:r w:rsidR="00184431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052674"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62493779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62493780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816ED7" w:rsidRPr="00CD78A3" w14:paraId="2A1B5446" w14:textId="77777777" w:rsidTr="002D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2782" w14:textId="77777777" w:rsidR="00816ED7" w:rsidRPr="00CD78A3" w:rsidRDefault="00816ED7" w:rsidP="002D5C0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97AB" w14:textId="77777777" w:rsidR="00816ED7" w:rsidRPr="00CD78A3" w:rsidRDefault="00816ED7" w:rsidP="002D5C0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551C" w14:textId="77777777" w:rsidR="00816ED7" w:rsidRPr="00CD78A3" w:rsidRDefault="00816ED7" w:rsidP="002D5C0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2C7" w14:textId="4E4F6395" w:rsidR="00816ED7" w:rsidRPr="00CD78A3" w:rsidRDefault="00816ED7" w:rsidP="00C3392B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Начальная (максимальная) цена каждой единицы продукции, </w:t>
            </w:r>
            <w:r w:rsidR="00C3392B">
              <w:rPr>
                <w:rFonts w:ascii="Times New Roman" w:eastAsiaTheme="majorEastAsia" w:hAnsi="Times New Roman"/>
                <w:b/>
                <w:bCs/>
                <w:sz w:val="24"/>
                <w:lang w:val="en-US"/>
              </w:rPr>
              <w:t>USD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3CE" w14:textId="77777777" w:rsidR="00816ED7" w:rsidRPr="00CD78A3" w:rsidRDefault="00816ED7" w:rsidP="002D5C0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586EB4CF" w14:textId="0C640F39" w:rsidR="00816ED7" w:rsidRPr="00C3392B" w:rsidRDefault="00C3392B" w:rsidP="002D5C0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  <w:lang w:val="en-US"/>
              </w:rPr>
              <w:t>USD</w:t>
            </w:r>
          </w:p>
        </w:tc>
      </w:tr>
      <w:tr w:rsidR="00A26C33" w:rsidRPr="00E62206" w14:paraId="5317A7F3" w14:textId="77777777" w:rsidTr="001B3D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A8F" w14:textId="2374DDFD" w:rsidR="00A26C33" w:rsidRPr="00A26C33" w:rsidRDefault="00A26C33" w:rsidP="002D5C0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C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B494" w14:textId="5575028F" w:rsidR="00A26C33" w:rsidRPr="00A26C33" w:rsidRDefault="00A26C33" w:rsidP="002D5C0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26C33">
              <w:rPr>
                <w:rFonts w:ascii="Times New Roman" w:hAnsi="Times New Roman"/>
                <w:sz w:val="24"/>
                <w:szCs w:val="24"/>
              </w:rPr>
              <w:t>Универсальный плоскошлифовальный станок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982" w14:textId="5673D2CA" w:rsidR="00A26C33" w:rsidRPr="00A26C33" w:rsidRDefault="00A26C33" w:rsidP="002D5C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26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447" w14:textId="77777777" w:rsidR="00A26C33" w:rsidRPr="00A26C33" w:rsidRDefault="00A26C33" w:rsidP="004A79E1">
            <w:pPr>
              <w:rPr>
                <w:rFonts w:ascii="Times New Roman" w:hAnsi="Times New Roman"/>
                <w:sz w:val="24"/>
                <w:szCs w:val="24"/>
              </w:rPr>
            </w:pPr>
            <w:r w:rsidRPr="00A26C33">
              <w:rPr>
                <w:rFonts w:ascii="Times New Roman" w:hAnsi="Times New Roman"/>
                <w:sz w:val="24"/>
                <w:szCs w:val="24"/>
              </w:rPr>
              <w:t>54 400,00</w:t>
            </w:r>
          </w:p>
          <w:p w14:paraId="43536E9A" w14:textId="7C12D6D2" w:rsidR="00A26C33" w:rsidRPr="00A26C33" w:rsidRDefault="00A26C33" w:rsidP="002D5C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9E9" w14:textId="77777777" w:rsidR="00A26C33" w:rsidRPr="00A26C33" w:rsidRDefault="00A26C33" w:rsidP="004A79E1">
            <w:pPr>
              <w:rPr>
                <w:rFonts w:ascii="Times New Roman" w:hAnsi="Times New Roman"/>
                <w:sz w:val="24"/>
                <w:szCs w:val="24"/>
              </w:rPr>
            </w:pPr>
            <w:r w:rsidRPr="00A26C33">
              <w:rPr>
                <w:rFonts w:ascii="Times New Roman" w:hAnsi="Times New Roman"/>
                <w:sz w:val="24"/>
                <w:szCs w:val="24"/>
              </w:rPr>
              <w:t>54 400,00</w:t>
            </w:r>
          </w:p>
          <w:p w14:paraId="72C6E3A2" w14:textId="29F02046" w:rsidR="00A26C33" w:rsidRPr="00A26C33" w:rsidRDefault="00A26C33" w:rsidP="002D5C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26C33" w:rsidRPr="00E62206" w14:paraId="02B87610" w14:textId="77777777" w:rsidTr="002D5C00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F6E9" w14:textId="77777777" w:rsidR="00A26C33" w:rsidRPr="00E62206" w:rsidRDefault="00A26C33" w:rsidP="002D5C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0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15A90" w14:textId="77777777" w:rsidR="00A26C33" w:rsidRPr="00A26C33" w:rsidRDefault="00A26C33" w:rsidP="00A26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C33">
              <w:rPr>
                <w:rFonts w:ascii="Times New Roman" w:hAnsi="Times New Roman"/>
                <w:b/>
                <w:sz w:val="24"/>
                <w:szCs w:val="24"/>
              </w:rPr>
              <w:t>54 400,00</w:t>
            </w:r>
          </w:p>
          <w:p w14:paraId="1A17161F" w14:textId="48A9F404" w:rsidR="00A26C33" w:rsidRPr="00021945" w:rsidRDefault="00A26C33" w:rsidP="002D5C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62493781"/>
      <w:bookmarkEnd w:id="630"/>
      <w:bookmarkEnd w:id="631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3B5F836A" w14:textId="77777777" w:rsidR="00816ED7" w:rsidRDefault="00816ED7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62493782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5A415FDC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816ED7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9F77C4F" w14:textId="7B384A40" w:rsidR="0027080A" w:rsidRPr="0027080A" w:rsidRDefault="00C954B9" w:rsidP="002708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</w:t>
      </w:r>
      <w:r w:rsidRPr="0027080A">
        <w:rPr>
          <w:rFonts w:ascii="Times New Roman" w:hAnsi="Times New Roman"/>
          <w:b/>
          <w:iCs/>
          <w:snapToGrid w:val="0"/>
          <w:sz w:val="24"/>
          <w:szCs w:val="24"/>
        </w:rPr>
        <w:t>:</w:t>
      </w:r>
      <w:r w:rsidR="004A4A34" w:rsidRPr="0027080A">
        <w:rPr>
          <w:rFonts w:ascii="Times New Roman" w:hAnsi="Times New Roman"/>
          <w:b/>
          <w:sz w:val="24"/>
          <w:szCs w:val="24"/>
        </w:rPr>
        <w:t xml:space="preserve"> </w:t>
      </w:r>
      <w:r w:rsidR="0027080A" w:rsidRPr="0027080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поставку универсального плоскошлифовального станка.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6C9911B7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47499A48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 w:rsidR="002717F8">
        <w:rPr>
          <w:rFonts w:ascii="Times New Roman" w:hAnsi="Times New Roman"/>
          <w:sz w:val="24"/>
        </w:rPr>
        <w:t>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5CFE482C" w14:textId="6DB09F49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что _________________________ 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2BDB9946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A9A749B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16ED7">
        <w:rPr>
          <w:rFonts w:ascii="Times New Roman" w:hAnsi="Times New Roman"/>
          <w:iCs/>
          <w:snapToGrid w:val="0"/>
          <w:sz w:val="24"/>
        </w:rPr>
        <w:t>АО «НПП «Алмаз»</w:t>
      </w:r>
      <w:r w:rsidR="00816ED7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816ED7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816ED7" w:rsidRPr="00AF5638">
        <w:rPr>
          <w:rFonts w:ascii="Times New Roman" w:hAnsi="Times New Roman"/>
          <w:iCs/>
          <w:snapToGrid w:val="0"/>
          <w:sz w:val="24"/>
        </w:rPr>
        <w:t>.</w:t>
      </w:r>
      <w:r w:rsidR="00816ED7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62493783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184431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0B4BB39" w14:textId="7117A763" w:rsidR="0009327C" w:rsidRPr="007C18BC" w:rsidRDefault="0009327C" w:rsidP="00184431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309"/>
        <w:gridCol w:w="1308"/>
        <w:gridCol w:w="1702"/>
        <w:gridCol w:w="1560"/>
        <w:gridCol w:w="1702"/>
        <w:gridCol w:w="851"/>
        <w:gridCol w:w="852"/>
      </w:tblGrid>
      <w:tr w:rsidR="002717F8" w:rsidRPr="00AF5638" w14:paraId="4564C229" w14:textId="77777777" w:rsidTr="00021945">
        <w:tc>
          <w:tcPr>
            <w:tcW w:w="676" w:type="dxa"/>
            <w:shd w:val="clear" w:color="auto" w:fill="auto"/>
            <w:vAlign w:val="center"/>
          </w:tcPr>
          <w:p w14:paraId="59346F82" w14:textId="77777777" w:rsidR="002717F8" w:rsidRPr="00AF5638" w:rsidRDefault="002717F8" w:rsidP="004A4A34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1309" w:type="dxa"/>
            <w:vAlign w:val="center"/>
          </w:tcPr>
          <w:p w14:paraId="4BA6BD0C" w14:textId="77777777" w:rsidR="002717F8" w:rsidRPr="00AF5638" w:rsidRDefault="002717F8" w:rsidP="004A4A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6"/>
              </w:rPr>
              <w:t>каждой единицы поставляемого товара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6AF41A3" w14:textId="77777777" w:rsidR="002717F8" w:rsidRPr="00AF563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8"/>
            </w:r>
          </w:p>
        </w:tc>
        <w:tc>
          <w:tcPr>
            <w:tcW w:w="1702" w:type="dxa"/>
            <w:vAlign w:val="center"/>
          </w:tcPr>
          <w:p w14:paraId="1C75E09C" w14:textId="77777777" w:rsidR="002717F8" w:rsidRPr="00AF563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9"/>
            </w:r>
          </w:p>
        </w:tc>
        <w:tc>
          <w:tcPr>
            <w:tcW w:w="1560" w:type="dxa"/>
            <w:vAlign w:val="center"/>
          </w:tcPr>
          <w:p w14:paraId="713684B4" w14:textId="77777777" w:rsidR="002717F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Единого реестра российской радиоэлектронной продукции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0"/>
            </w:r>
          </w:p>
        </w:tc>
        <w:tc>
          <w:tcPr>
            <w:tcW w:w="1702" w:type="dxa"/>
            <w:vAlign w:val="center"/>
          </w:tcPr>
          <w:p w14:paraId="538DEAE5" w14:textId="77777777" w:rsidR="002717F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1"/>
            </w:r>
          </w:p>
        </w:tc>
        <w:tc>
          <w:tcPr>
            <w:tcW w:w="851" w:type="dxa"/>
          </w:tcPr>
          <w:p w14:paraId="067936A0" w14:textId="77777777" w:rsidR="002717F8" w:rsidRPr="00AF563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2" w:type="dxa"/>
          </w:tcPr>
          <w:p w14:paraId="73314D06" w14:textId="77777777" w:rsidR="002717F8" w:rsidRPr="00AF563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021945" w:rsidRPr="00AF5638" w14:paraId="613AFBEA" w14:textId="77777777" w:rsidTr="00021945">
        <w:tc>
          <w:tcPr>
            <w:tcW w:w="676" w:type="dxa"/>
            <w:shd w:val="clear" w:color="auto" w:fill="auto"/>
          </w:tcPr>
          <w:p w14:paraId="457976C9" w14:textId="4119F14A" w:rsidR="00021945" w:rsidRPr="00021945" w:rsidRDefault="00021945" w:rsidP="004A4A34">
            <w:pPr>
              <w:rPr>
                <w:rFonts w:ascii="Times New Roman" w:hAnsi="Times New Roman"/>
                <w:sz w:val="24"/>
                <w:szCs w:val="24"/>
              </w:rPr>
            </w:pPr>
            <w:r w:rsidRPr="000219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9" w:type="dxa"/>
          </w:tcPr>
          <w:p w14:paraId="5FCED954" w14:textId="56CA4CC6" w:rsidR="00021945" w:rsidRPr="00021945" w:rsidRDefault="00021945" w:rsidP="00357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1D746354" w14:textId="77777777" w:rsidR="00021945" w:rsidRPr="00356387" w:rsidRDefault="00021945" w:rsidP="004A4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5135201" w14:textId="77777777" w:rsidR="00021945" w:rsidRPr="00356387" w:rsidRDefault="00021945" w:rsidP="004A4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3DA497" w14:textId="77777777" w:rsidR="00021945" w:rsidRPr="00356387" w:rsidRDefault="00021945" w:rsidP="004A4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4DFFF7C" w14:textId="77777777" w:rsidR="00021945" w:rsidRPr="00356387" w:rsidRDefault="00021945" w:rsidP="004A4A3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590E97" w14:textId="732B14CF" w:rsidR="00021945" w:rsidRPr="00356387" w:rsidRDefault="00021945" w:rsidP="004A4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639188D3" w14:textId="24EB5510" w:rsidR="00021945" w:rsidRPr="00356387" w:rsidRDefault="00021945" w:rsidP="004A4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67C136C8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238479B8" w:rsidR="00C954B9" w:rsidRPr="0035753C" w:rsidRDefault="00C954B9" w:rsidP="0035753C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29"/>
      <w:bookmarkStart w:id="700" w:name="_Toc418282236"/>
      <w:bookmarkStart w:id="701" w:name="_Toc418282241"/>
      <w:bookmarkStart w:id="702" w:name="_Ref90381523"/>
      <w:bookmarkStart w:id="703" w:name="_Toc90385124"/>
      <w:bookmarkStart w:id="704" w:name="_Ref93268095"/>
      <w:bookmarkStart w:id="705" w:name="_Ref93268099"/>
      <w:bookmarkStart w:id="706" w:name="_Toc311975390"/>
      <w:bookmarkStart w:id="707" w:name="_Toc415874708"/>
      <w:bookmarkStart w:id="708" w:name="_Toc62493787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r w:rsidRPr="0035753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35753C">
        <w:rPr>
          <w:rFonts w:ascii="Times New Roman" w:hAnsi="Times New Roman"/>
          <w:sz w:val="24"/>
        </w:rPr>
        <w:t xml:space="preserve">поставки продукции </w:t>
      </w:r>
      <w:r w:rsidRPr="0035753C">
        <w:rPr>
          <w:rFonts w:ascii="Times New Roman" w:hAnsi="Times New Roman"/>
          <w:sz w:val="24"/>
        </w:rPr>
        <w:t>(форма </w:t>
      </w:r>
      <w:r w:rsidR="0035753C">
        <w:rPr>
          <w:rFonts w:ascii="Times New Roman" w:hAnsi="Times New Roman"/>
          <w:sz w:val="24"/>
        </w:rPr>
        <w:t>3</w:t>
      </w:r>
      <w:r w:rsidRPr="0035753C">
        <w:rPr>
          <w:rFonts w:ascii="Times New Roman" w:hAnsi="Times New Roman"/>
          <w:sz w:val="24"/>
        </w:rPr>
        <w:t>)</w:t>
      </w:r>
      <w:bookmarkEnd w:id="702"/>
      <w:bookmarkEnd w:id="703"/>
      <w:bookmarkEnd w:id="704"/>
      <w:bookmarkEnd w:id="705"/>
      <w:bookmarkEnd w:id="706"/>
      <w:bookmarkEnd w:id="707"/>
      <w:bookmarkEnd w:id="708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9" w:name="_Toc90385125"/>
      <w:bookmarkStart w:id="710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9"/>
      <w:bookmarkEnd w:id="710"/>
    </w:p>
    <w:p w14:paraId="6E0FA6EE" w14:textId="6C7BF32E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35753C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184431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6BC20BAC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Ref419730103"/>
      <w:bookmarkStart w:id="712" w:name="_Toc62493788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D76FD7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1"/>
      <w:bookmarkEnd w:id="712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7A875E6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D76FD7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2"/>
      </w:r>
    </w:p>
    <w:p w14:paraId="77E96AC4" w14:textId="00C032ED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286B73A2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3" w:name="_Toc418282248"/>
      <w:bookmarkStart w:id="714" w:name="_Toc418282252"/>
      <w:bookmarkStart w:id="715" w:name="_Toc415874709"/>
      <w:bookmarkStart w:id="716" w:name="_Toc415874710"/>
      <w:bookmarkStart w:id="717" w:name="_Toc415874711"/>
      <w:bookmarkStart w:id="718" w:name="_Toc415874712"/>
      <w:bookmarkStart w:id="719" w:name="_Toc415874713"/>
      <w:bookmarkStart w:id="720" w:name="_Toc415874714"/>
      <w:bookmarkStart w:id="721" w:name="_Toc415874715"/>
      <w:bookmarkStart w:id="722" w:name="_Toc415874722"/>
      <w:bookmarkStart w:id="723" w:name="_Toc415874729"/>
      <w:bookmarkStart w:id="724" w:name="_Toc415874736"/>
      <w:bookmarkStart w:id="725" w:name="_Toc415874743"/>
      <w:bookmarkStart w:id="726" w:name="_Toc415874762"/>
      <w:bookmarkStart w:id="727" w:name="_Toc415874763"/>
      <w:bookmarkStart w:id="728" w:name="_Toc415874764"/>
      <w:bookmarkStart w:id="729" w:name="_Toc415874765"/>
      <w:bookmarkStart w:id="730" w:name="_Toc415874766"/>
      <w:bookmarkStart w:id="731" w:name="_Toc415874767"/>
      <w:bookmarkStart w:id="732" w:name="_Toc415874768"/>
      <w:bookmarkStart w:id="733" w:name="_Toc415874769"/>
      <w:bookmarkStart w:id="734" w:name="_Toc415874770"/>
      <w:bookmarkStart w:id="735" w:name="_Toc415874771"/>
      <w:bookmarkStart w:id="736" w:name="_Toc415874772"/>
      <w:bookmarkStart w:id="737" w:name="_Toc415874773"/>
      <w:bookmarkStart w:id="738" w:name="_Toc415874774"/>
      <w:bookmarkStart w:id="739" w:name="_Toc415874775"/>
      <w:bookmarkStart w:id="740" w:name="_Toc415874776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</w:p>
    <w:p w14:paraId="68DAACC5" w14:textId="0DBDB5B6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1" w:name="_Ref525592686"/>
      <w:bookmarkStart w:id="742" w:name="_Ref525592709"/>
      <w:bookmarkStart w:id="743" w:name="_Ref525592964"/>
      <w:bookmarkStart w:id="744" w:name="_Ref525592974"/>
      <w:bookmarkStart w:id="745" w:name="_Ref525634168"/>
      <w:bookmarkStart w:id="746" w:name="_Toc526926104"/>
      <w:bookmarkStart w:id="747" w:name="_Toc62493789"/>
      <w:bookmarkStart w:id="748" w:name="_Ref313447467"/>
      <w:bookmarkStart w:id="749" w:name="_Ref313450486"/>
      <w:bookmarkStart w:id="750" w:name="_Ref313450499"/>
      <w:bookmarkStart w:id="751" w:name="_Ref314100122"/>
      <w:bookmarkStart w:id="752" w:name="_Ref314100248"/>
      <w:bookmarkStart w:id="753" w:name="_Ref314100448"/>
      <w:bookmarkStart w:id="754" w:name="_Ref314100664"/>
      <w:bookmarkStart w:id="755" w:name="_Ref314100672"/>
      <w:bookmarkStart w:id="756" w:name="_Ref314100707"/>
      <w:bookmarkStart w:id="757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BE0326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1"/>
      <w:bookmarkEnd w:id="742"/>
      <w:bookmarkEnd w:id="743"/>
      <w:bookmarkEnd w:id="744"/>
      <w:bookmarkEnd w:id="745"/>
      <w:bookmarkEnd w:id="746"/>
      <w:bookmarkEnd w:id="747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4A027899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BE0326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184431">
            <w:pPr>
              <w:pStyle w:val="af2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4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067D8BC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58" w:name="_Ref526853887"/>
      <w:bookmarkStart w:id="759" w:name="_Toc62493791"/>
      <w:r w:rsidRPr="007C18BC">
        <w:rPr>
          <w:rFonts w:ascii="Times New Roman" w:hAnsi="Times New Roman"/>
          <w:sz w:val="24"/>
        </w:rPr>
        <w:t>ПРОЕКТ ДОГОВОРА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</w:p>
    <w:p w14:paraId="08FA5F5C" w14:textId="14C6E22F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E0C9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0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1" w:name="_Ref313447456"/>
      <w:bookmarkStart w:id="762" w:name="_Ref313447487"/>
      <w:bookmarkStart w:id="763" w:name="_Ref414042300"/>
      <w:bookmarkStart w:id="764" w:name="_Ref414042605"/>
      <w:bookmarkStart w:id="765" w:name="_Toc415874780"/>
      <w:bookmarkStart w:id="766" w:name="_Toc62493792"/>
      <w:r w:rsidRPr="007C18BC">
        <w:rPr>
          <w:rFonts w:ascii="Times New Roman" w:hAnsi="Times New Roman"/>
          <w:sz w:val="24"/>
        </w:rPr>
        <w:t>Т</w:t>
      </w:r>
      <w:bookmarkEnd w:id="760"/>
      <w:bookmarkEnd w:id="761"/>
      <w:bookmarkEnd w:id="762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3"/>
      <w:bookmarkEnd w:id="764"/>
      <w:bookmarkEnd w:id="765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6"/>
    </w:p>
    <w:p w14:paraId="73157575" w14:textId="7C910652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E0C96">
        <w:rPr>
          <w:rFonts w:ascii="Times New Roman" w:hAnsi="Times New Roman"/>
          <w:bCs/>
          <w:sz w:val="24"/>
        </w:rPr>
        <w:t>Требования</w:t>
      </w:r>
      <w:r w:rsidR="005E0C96" w:rsidRPr="00093FCE">
        <w:rPr>
          <w:rFonts w:ascii="Times New Roman" w:hAnsi="Times New Roman"/>
          <w:bCs/>
          <w:sz w:val="24"/>
        </w:rPr>
        <w:t xml:space="preserve"> к продукции</w:t>
      </w:r>
      <w:r w:rsidR="005E0C96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3C01D" w14:textId="77777777" w:rsidR="00DF1165" w:rsidRDefault="00DF1165" w:rsidP="00BE4551">
      <w:pPr>
        <w:spacing w:after="0" w:line="240" w:lineRule="auto"/>
      </w:pPr>
      <w:r>
        <w:separator/>
      </w:r>
    </w:p>
  </w:endnote>
  <w:endnote w:type="continuationSeparator" w:id="0">
    <w:p w14:paraId="420E1A5A" w14:textId="77777777" w:rsidR="00DF1165" w:rsidRDefault="00DF1165" w:rsidP="00BE4551">
      <w:pPr>
        <w:spacing w:after="0" w:line="240" w:lineRule="auto"/>
      </w:pPr>
      <w:r>
        <w:continuationSeparator/>
      </w:r>
    </w:p>
  </w:endnote>
  <w:endnote w:type="continuationNotice" w:id="1">
    <w:p w14:paraId="09397BC1" w14:textId="77777777" w:rsidR="00DF1165" w:rsidRDefault="00DF1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charset w:val="CC"/>
    <w:family w:val="auto"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0A72BA" w:rsidRPr="00A1776F" w:rsidRDefault="000A72BA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E1C89">
              <w:rPr>
                <w:rFonts w:ascii="Times New Roman" w:hAnsi="Times New Roman"/>
                <w:bCs/>
                <w:noProof/>
                <w:sz w:val="24"/>
                <w:szCs w:val="24"/>
              </w:rPr>
              <w:t>27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0A72BA" w:rsidRPr="0032691D" w:rsidRDefault="000A72BA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E1C89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0A72BA" w:rsidRPr="00744924" w:rsidRDefault="000A72BA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1D3F9A">
      <w:rPr>
        <w:bCs/>
        <w:noProof/>
      </w:rPr>
      <w:t>66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4A232" w14:textId="77777777" w:rsidR="00DF1165" w:rsidRDefault="00DF1165" w:rsidP="00BE4551">
      <w:pPr>
        <w:spacing w:after="0" w:line="240" w:lineRule="auto"/>
      </w:pPr>
      <w:r>
        <w:separator/>
      </w:r>
    </w:p>
  </w:footnote>
  <w:footnote w:type="continuationSeparator" w:id="0">
    <w:p w14:paraId="71A60D87" w14:textId="77777777" w:rsidR="00DF1165" w:rsidRDefault="00DF1165" w:rsidP="00BE4551">
      <w:pPr>
        <w:spacing w:after="0" w:line="240" w:lineRule="auto"/>
      </w:pPr>
      <w:r>
        <w:continuationSeparator/>
      </w:r>
    </w:p>
  </w:footnote>
  <w:footnote w:type="continuationNotice" w:id="1">
    <w:p w14:paraId="6A684C1E" w14:textId="77777777" w:rsidR="00DF1165" w:rsidRDefault="00DF1165">
      <w:pPr>
        <w:spacing w:after="0" w:line="240" w:lineRule="auto"/>
      </w:pPr>
    </w:p>
  </w:footnote>
  <w:footnote w:id="2">
    <w:p w14:paraId="63CEC5E2" w14:textId="7EA7BC69" w:rsidR="000A72BA" w:rsidRPr="0067066B" w:rsidRDefault="000A72BA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0A72BA" w:rsidRDefault="000A72BA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0A72BA" w:rsidRDefault="000A72BA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0A72BA" w:rsidRDefault="000A72BA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0A72BA" w:rsidRPr="002951D9" w:rsidRDefault="000A72BA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0A72BA" w:rsidRPr="007C18BC" w:rsidRDefault="000A72BA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0C8CB111" w14:textId="77777777" w:rsidR="000A72BA" w:rsidRDefault="000A72BA" w:rsidP="002717F8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</w:t>
      </w:r>
      <w:r w:rsidRPr="00AA2ABA">
        <w:t xml:space="preserve">рекомендуется </w:t>
      </w:r>
      <w:r>
        <w:t>руководствоваться</w:t>
      </w:r>
      <w:r w:rsidRPr="00AA2ABA">
        <w:t xml:space="preserve"> Общероссийским классификатором стран мира ОК (МК (ИСО 3166) 004-97) 025-2001</w:t>
      </w:r>
    </w:p>
  </w:footnote>
  <w:footnote w:id="9">
    <w:p w14:paraId="0C717E45" w14:textId="77777777" w:rsidR="000A72BA" w:rsidRDefault="000A72BA" w:rsidP="002717F8">
      <w:pPr>
        <w:pStyle w:val="afffe"/>
      </w:pPr>
      <w:r>
        <w:rPr>
          <w:rStyle w:val="affb"/>
        </w:rPr>
        <w:footnoteRef/>
      </w:r>
      <w:r w:rsidRPr="00AA2ABA">
        <w:t>Предложение в отношении функциональных характеристик (потребительских свойств),</w:t>
      </w:r>
      <w:r>
        <w:t xml:space="preserve"> эксплуатационных характеристик,</w:t>
      </w:r>
      <w:r w:rsidRPr="00AA2ABA">
        <w:t xml:space="preserve"> качественных характеристик</w:t>
      </w:r>
      <w:r>
        <w:t xml:space="preserve"> должно соответствовать </w:t>
      </w:r>
      <w:r w:rsidRPr="00AA2ABA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 xml:space="preserve"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</w:t>
      </w:r>
      <w:r w:rsidRPr="000860EB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7905CD2B" w14:textId="77777777" w:rsidR="000A72BA" w:rsidRDefault="000A72BA" w:rsidP="002717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1">
    <w:p w14:paraId="6E9CDBFC" w14:textId="77777777" w:rsidR="000A72BA" w:rsidRDefault="000A72BA" w:rsidP="002717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46FFC882" w14:textId="77777777" w:rsidR="000A72BA" w:rsidRPr="007C18BC" w:rsidRDefault="000A72BA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3">
    <w:p w14:paraId="5DBC05FB" w14:textId="77777777" w:rsidR="000A72BA" w:rsidRPr="007C18BC" w:rsidRDefault="000A72BA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3648972D" w14:textId="77777777" w:rsidR="000A72BA" w:rsidRDefault="000A72BA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0A72BA" w:rsidRPr="00EB5C02" w:rsidRDefault="000A72BA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0A72BA" w:rsidRPr="00EB5C02" w:rsidRDefault="000A72BA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F21EDF"/>
    <w:multiLevelType w:val="multilevel"/>
    <w:tmpl w:val="20E8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3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6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2"/>
  </w:num>
  <w:num w:numId="3">
    <w:abstractNumId w:val="13"/>
  </w:num>
  <w:num w:numId="4">
    <w:abstractNumId w:val="29"/>
  </w:num>
  <w:num w:numId="5">
    <w:abstractNumId w:val="20"/>
  </w:num>
  <w:num w:numId="6">
    <w:abstractNumId w:val="27"/>
  </w:num>
  <w:num w:numId="7">
    <w:abstractNumId w:val="35"/>
  </w:num>
  <w:num w:numId="8">
    <w:abstractNumId w:val="14"/>
  </w:num>
  <w:num w:numId="9">
    <w:abstractNumId w:val="6"/>
  </w:num>
  <w:num w:numId="10">
    <w:abstractNumId w:val="21"/>
  </w:num>
  <w:num w:numId="11">
    <w:abstractNumId w:val="0"/>
  </w:num>
  <w:num w:numId="12">
    <w:abstractNumId w:val="19"/>
  </w:num>
  <w:num w:numId="13">
    <w:abstractNumId w:val="23"/>
  </w:num>
  <w:num w:numId="14">
    <w:abstractNumId w:val="5"/>
  </w:num>
  <w:num w:numId="15">
    <w:abstractNumId w:val="34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"/>
  </w:num>
  <w:num w:numId="20">
    <w:abstractNumId w:val="22"/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0"/>
  </w:num>
  <w:num w:numId="25">
    <w:abstractNumId w:val="31"/>
  </w:num>
  <w:num w:numId="26">
    <w:abstractNumId w:val="11"/>
  </w:num>
  <w:num w:numId="27">
    <w:abstractNumId w:val="30"/>
  </w:num>
  <w:num w:numId="28">
    <w:abstractNumId w:val="16"/>
  </w:num>
  <w:num w:numId="29">
    <w:abstractNumId w:val="4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7"/>
  </w:num>
  <w:num w:numId="40">
    <w:abstractNumId w:val="36"/>
  </w:num>
  <w:num w:numId="41">
    <w:abstractNumId w:val="33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45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674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BA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AC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0EC0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1BB1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3F9A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80A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458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25B2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C00"/>
    <w:rsid w:val="002D5E67"/>
    <w:rsid w:val="002D6643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387"/>
    <w:rsid w:val="0035753C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67B5D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87C8A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A34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8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AC3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09E6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29C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C96"/>
    <w:rsid w:val="005E130B"/>
    <w:rsid w:val="005E1BD6"/>
    <w:rsid w:val="005E1C89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12C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3DB2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3F6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4C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8FF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BFC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9EB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67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ED7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79D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77F84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6D03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97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266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3A0E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06F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4D0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2CDD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6C33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36A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67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326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20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1F2E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66C"/>
    <w:rsid w:val="00BD6C9B"/>
    <w:rsid w:val="00BD73CF"/>
    <w:rsid w:val="00BD785F"/>
    <w:rsid w:val="00BD78E4"/>
    <w:rsid w:val="00BD7A00"/>
    <w:rsid w:val="00BD7AD8"/>
    <w:rsid w:val="00BE0326"/>
    <w:rsid w:val="00BE0979"/>
    <w:rsid w:val="00BE0BBB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92B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829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AA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D84"/>
    <w:rsid w:val="00D74EA1"/>
    <w:rsid w:val="00D7560F"/>
    <w:rsid w:val="00D76BE1"/>
    <w:rsid w:val="00D76FD7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7F6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165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B75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053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5D98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uselectronic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s://npd.nalog.ru/check-statu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tp.zakazrf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3D9F-D2E4-40F6-B1ED-E0B6B193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22964</Words>
  <Characters>130899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2021-05-28T10:00:00Z</dcterms:created>
  <dcterms:modified xsi:type="dcterms:W3CDTF">2021-05-28T10:00:00Z</dcterms:modified>
</cp:coreProperties>
</file>