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6D961523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376E5B">
        <w:rPr>
          <w:rStyle w:val="afffff4"/>
          <w:rFonts w:ascii="Times New Roman" w:hAnsi="Times New Roman"/>
          <w:szCs w:val="32"/>
        </w:rPr>
        <w:t>о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казание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услуги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по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ремонту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мягкой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кровли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3-</w:t>
      </w:r>
      <w:r w:rsidR="00376E5B" w:rsidRPr="00376E5B">
        <w:rPr>
          <w:rStyle w:val="afffff4"/>
          <w:rFonts w:ascii="Times New Roman" w:hAnsi="Times New Roman" w:hint="eastAsia"/>
          <w:szCs w:val="32"/>
        </w:rPr>
        <w:t>х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жилых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корпусов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ЦДО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им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.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Гагарина</w:t>
      </w:r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A6413A6" w14:textId="77777777" w:rsidR="00AB5B5A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258146" w:history="1">
        <w:r w:rsidR="00AB5B5A" w:rsidRPr="002B4E84">
          <w:rPr>
            <w:rStyle w:val="affa"/>
            <w:rFonts w:ascii="Times New Roman" w:hAnsi="Times New Roman"/>
          </w:rPr>
          <w:t>1.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СОКРАЩЕНИЯ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</w:t>
        </w:r>
        <w:r w:rsidR="00AB5B5A">
          <w:rPr>
            <w:webHidden/>
          </w:rPr>
          <w:fldChar w:fldCharType="end"/>
        </w:r>
      </w:hyperlink>
    </w:p>
    <w:p w14:paraId="2C52959B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7" w:history="1">
        <w:r w:rsidR="00AB5B5A" w:rsidRPr="002B4E84">
          <w:rPr>
            <w:rStyle w:val="affa"/>
            <w:rFonts w:ascii="Times New Roman" w:hAnsi="Times New Roman"/>
          </w:rPr>
          <w:t>2.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ТЕРМИНЫ И ОПРЕДЕЛЕНИЯ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</w:t>
        </w:r>
        <w:r w:rsidR="00AB5B5A">
          <w:rPr>
            <w:webHidden/>
          </w:rPr>
          <w:fldChar w:fldCharType="end"/>
        </w:r>
      </w:hyperlink>
    </w:p>
    <w:p w14:paraId="77422E07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8" w:history="1">
        <w:r w:rsidR="00AB5B5A" w:rsidRPr="002B4E84">
          <w:rPr>
            <w:rStyle w:val="affa"/>
            <w:rFonts w:ascii="Times New Roman" w:hAnsi="Times New Roman"/>
          </w:rPr>
          <w:t>3.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ПОЛОЖЕНИЯ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0ECB0C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49" w:history="1">
        <w:r w:rsidR="00AB5B5A" w:rsidRPr="002B4E84">
          <w:rPr>
            <w:rStyle w:val="affa"/>
            <w:rFonts w:ascii="Times New Roman" w:hAnsi="Times New Roman"/>
          </w:rPr>
          <w:t>3.1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сведения о процедуре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53460A2C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0" w:history="1">
        <w:r w:rsidR="00AB5B5A" w:rsidRPr="002B4E84">
          <w:rPr>
            <w:rStyle w:val="affa"/>
            <w:rFonts w:ascii="Times New Roman" w:hAnsi="Times New Roman"/>
          </w:rPr>
          <w:t>3.2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10111F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1" w:history="1">
        <w:r w:rsidR="00AB5B5A" w:rsidRPr="002B4E84">
          <w:rPr>
            <w:rStyle w:val="affa"/>
            <w:rFonts w:ascii="Times New Roman" w:hAnsi="Times New Roman"/>
          </w:rPr>
          <w:t>3.3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9</w:t>
        </w:r>
        <w:r w:rsidR="00AB5B5A">
          <w:rPr>
            <w:webHidden/>
          </w:rPr>
          <w:fldChar w:fldCharType="end"/>
        </w:r>
      </w:hyperlink>
    </w:p>
    <w:p w14:paraId="611A7A8E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2" w:history="1">
        <w:r w:rsidR="00AB5B5A" w:rsidRPr="002B4E84">
          <w:rPr>
            <w:rStyle w:val="affa"/>
            <w:rFonts w:ascii="Times New Roman" w:hAnsi="Times New Roman"/>
          </w:rPr>
          <w:t>3.4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4FDC8D46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3" w:history="1">
        <w:r w:rsidR="00AB5B5A" w:rsidRPr="002B4E84">
          <w:rPr>
            <w:rStyle w:val="affa"/>
            <w:rFonts w:ascii="Times New Roman" w:hAnsi="Times New Roman"/>
          </w:rPr>
          <w:t>3.5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5B24A1A7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4" w:history="1">
        <w:r w:rsidR="00AB5B5A" w:rsidRPr="002B4E84">
          <w:rPr>
            <w:rStyle w:val="affa"/>
            <w:rFonts w:ascii="Times New Roman" w:hAnsi="Times New Roman"/>
          </w:rPr>
          <w:t>3.6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Обжалование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11</w:t>
        </w:r>
        <w:r w:rsidR="00AB5B5A">
          <w:rPr>
            <w:webHidden/>
          </w:rPr>
          <w:fldChar w:fldCharType="end"/>
        </w:r>
      </w:hyperlink>
    </w:p>
    <w:p w14:paraId="275A5ABD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55" w:history="1">
        <w:r w:rsidR="00AB5B5A" w:rsidRPr="002B4E84">
          <w:rPr>
            <w:rStyle w:val="affa"/>
            <w:rFonts w:ascii="Times New Roman" w:hAnsi="Times New Roman"/>
          </w:rPr>
          <w:t>4.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57BAAF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6" w:history="1">
        <w:r w:rsidR="00AB5B5A" w:rsidRPr="002B4E84">
          <w:rPr>
            <w:rStyle w:val="affa"/>
            <w:rFonts w:ascii="Times New Roman" w:hAnsi="Times New Roman"/>
          </w:rPr>
          <w:t>4.1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Общий 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A1A3FD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7" w:history="1">
        <w:r w:rsidR="00AB5B5A" w:rsidRPr="002B4E84">
          <w:rPr>
            <w:rStyle w:val="affa"/>
            <w:rFonts w:ascii="Times New Roman" w:hAnsi="Times New Roman"/>
          </w:rPr>
          <w:t>4.2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Официальное размещение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641D07A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8" w:history="1">
        <w:r w:rsidR="00AB5B5A" w:rsidRPr="002B4E84">
          <w:rPr>
            <w:rStyle w:val="affa"/>
            <w:rFonts w:ascii="Times New Roman" w:hAnsi="Times New Roman"/>
          </w:rPr>
          <w:t>4.3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Разъяснение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48BAD32D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9" w:history="1">
        <w:r w:rsidR="00AB5B5A" w:rsidRPr="002B4E84">
          <w:rPr>
            <w:rStyle w:val="affa"/>
            <w:rFonts w:ascii="Times New Roman" w:hAnsi="Times New Roman"/>
          </w:rPr>
          <w:t>4.4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Внесение изменений в извещение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424452D1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0" w:history="1">
        <w:r w:rsidR="00AB5B5A" w:rsidRPr="002B4E84">
          <w:rPr>
            <w:rStyle w:val="affa"/>
            <w:rFonts w:ascii="Times New Roman" w:eastAsiaTheme="majorEastAsia" w:hAnsi="Times New Roman"/>
          </w:rPr>
          <w:t>4.5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522A043A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1" w:history="1">
        <w:r w:rsidR="00AB5B5A" w:rsidRPr="002B4E84">
          <w:rPr>
            <w:rStyle w:val="affa"/>
            <w:rFonts w:ascii="Times New Roman" w:hAnsi="Times New Roman"/>
          </w:rPr>
          <w:t>4.6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описанию продукции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30F0F8EB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2" w:history="1">
        <w:r w:rsidR="00AB5B5A" w:rsidRPr="002B4E84">
          <w:rPr>
            <w:rStyle w:val="affa"/>
            <w:rFonts w:ascii="Times New Roman" w:hAnsi="Times New Roman"/>
          </w:rPr>
          <w:t>4.7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278A0CAA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3" w:history="1">
        <w:r w:rsidR="00AB5B5A" w:rsidRPr="002B4E84">
          <w:rPr>
            <w:rStyle w:val="affa"/>
            <w:rFonts w:ascii="Times New Roman" w:hAnsi="Times New Roman"/>
          </w:rPr>
          <w:t>4.8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Обеспечение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76149F8F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4" w:history="1">
        <w:r w:rsidR="00AB5B5A" w:rsidRPr="002B4E84">
          <w:rPr>
            <w:rStyle w:val="affa"/>
            <w:rFonts w:ascii="Times New Roman" w:hAnsi="Times New Roman"/>
          </w:rPr>
          <w:t>4.9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Подача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18</w:t>
        </w:r>
        <w:r w:rsidR="00AB5B5A">
          <w:rPr>
            <w:webHidden/>
          </w:rPr>
          <w:fldChar w:fldCharType="end"/>
        </w:r>
      </w:hyperlink>
    </w:p>
    <w:p w14:paraId="103A2DEF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5" w:history="1">
        <w:r w:rsidR="00AB5B5A" w:rsidRPr="002B4E84">
          <w:rPr>
            <w:rStyle w:val="affa"/>
            <w:rFonts w:ascii="Times New Roman" w:hAnsi="Times New Roman"/>
          </w:rPr>
          <w:t>4.10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Изменение или отзыв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2300DC67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6" w:history="1">
        <w:r w:rsidR="00AB5B5A" w:rsidRPr="002B4E84">
          <w:rPr>
            <w:rStyle w:val="affa"/>
            <w:rFonts w:ascii="Times New Roman" w:hAnsi="Times New Roman"/>
          </w:rPr>
          <w:t>4.11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Открытие доступа к заявкам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73142632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7" w:history="1">
        <w:r w:rsidR="00AB5B5A" w:rsidRPr="002B4E84">
          <w:rPr>
            <w:rStyle w:val="affa"/>
            <w:rFonts w:ascii="Times New Roman" w:hAnsi="Times New Roman"/>
          </w:rPr>
          <w:t>4.12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20</w:t>
        </w:r>
        <w:r w:rsidR="00AB5B5A">
          <w:rPr>
            <w:webHidden/>
          </w:rPr>
          <w:fldChar w:fldCharType="end"/>
        </w:r>
      </w:hyperlink>
    </w:p>
    <w:p w14:paraId="670A30A4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8" w:history="1">
        <w:r w:rsidR="00AB5B5A" w:rsidRPr="002B4E84">
          <w:rPr>
            <w:rStyle w:val="affa"/>
            <w:rFonts w:ascii="Times New Roman" w:hAnsi="Times New Roman"/>
          </w:rPr>
          <w:t>4.13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Открытие</w:t>
        </w:r>
        <w:r w:rsidR="00AB5B5A" w:rsidRPr="002B4E84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23</w:t>
        </w:r>
        <w:r w:rsidR="00AB5B5A">
          <w:rPr>
            <w:webHidden/>
          </w:rPr>
          <w:fldChar w:fldCharType="end"/>
        </w:r>
      </w:hyperlink>
    </w:p>
    <w:p w14:paraId="0CF8F3C0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9" w:history="1">
        <w:r w:rsidR="00AB5B5A" w:rsidRPr="002B4E84">
          <w:rPr>
            <w:rStyle w:val="affa"/>
            <w:rFonts w:ascii="Times New Roman" w:eastAsiaTheme="majorEastAsia" w:hAnsi="Times New Roman"/>
          </w:rPr>
          <w:t>4.14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24</w:t>
        </w:r>
        <w:r w:rsidR="00AB5B5A">
          <w:rPr>
            <w:webHidden/>
          </w:rPr>
          <w:fldChar w:fldCharType="end"/>
        </w:r>
      </w:hyperlink>
    </w:p>
    <w:p w14:paraId="45ABBD01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0" w:history="1">
        <w:r w:rsidR="00AB5B5A" w:rsidRPr="002B4E84">
          <w:rPr>
            <w:rStyle w:val="affa"/>
            <w:rFonts w:ascii="Times New Roman" w:eastAsiaTheme="majorEastAsia" w:hAnsi="Times New Roman"/>
          </w:rPr>
          <w:t>4.15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Отмена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687EA84D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1" w:history="1">
        <w:r w:rsidR="00AB5B5A" w:rsidRPr="002B4E84">
          <w:rPr>
            <w:rStyle w:val="affa"/>
            <w:rFonts w:ascii="Times New Roman" w:eastAsiaTheme="majorEastAsia" w:hAnsi="Times New Roman"/>
          </w:rPr>
          <w:t>4.16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Постквалификация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5E0B831D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2" w:history="1">
        <w:r w:rsidR="00AB5B5A" w:rsidRPr="002B4E84">
          <w:rPr>
            <w:rStyle w:val="affa"/>
            <w:rFonts w:ascii="Times New Roman" w:eastAsiaTheme="majorEastAsia" w:hAnsi="Times New Roman"/>
          </w:rPr>
          <w:t>4.17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7AB1D40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3" w:history="1">
        <w:r w:rsidR="00AB5B5A" w:rsidRPr="002B4E84">
          <w:rPr>
            <w:rStyle w:val="affa"/>
            <w:rFonts w:ascii="Times New Roman" w:eastAsiaTheme="majorEastAsia" w:hAnsi="Times New Roman"/>
          </w:rPr>
          <w:t>4.18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131F6730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4" w:history="1">
        <w:r w:rsidR="00AB5B5A" w:rsidRPr="002B4E84">
          <w:rPr>
            <w:rStyle w:val="affa"/>
            <w:rFonts w:ascii="Times New Roman" w:eastAsiaTheme="majorEastAsia" w:hAnsi="Times New Roman"/>
          </w:rPr>
          <w:t>4.19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29</w:t>
        </w:r>
        <w:r w:rsidR="00AB5B5A">
          <w:rPr>
            <w:webHidden/>
          </w:rPr>
          <w:fldChar w:fldCharType="end"/>
        </w:r>
      </w:hyperlink>
    </w:p>
    <w:p w14:paraId="36C645B9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5" w:history="1">
        <w:r w:rsidR="00AB5B5A" w:rsidRPr="002B4E84">
          <w:rPr>
            <w:rStyle w:val="affa"/>
            <w:rFonts w:ascii="Times New Roman" w:eastAsiaTheme="majorEastAsia" w:hAnsi="Times New Roman"/>
          </w:rPr>
          <w:t>4.20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33</w:t>
        </w:r>
        <w:r w:rsidR="00AB5B5A">
          <w:rPr>
            <w:webHidden/>
          </w:rPr>
          <w:fldChar w:fldCharType="end"/>
        </w:r>
      </w:hyperlink>
    </w:p>
    <w:p w14:paraId="6F6DA744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76" w:history="1">
        <w:r w:rsidR="00AB5B5A" w:rsidRPr="002B4E84">
          <w:rPr>
            <w:rStyle w:val="affa"/>
            <w:rFonts w:ascii="Times New Roman" w:hAnsi="Times New Roman"/>
          </w:rPr>
          <w:t>5.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5CB6CC78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7" w:history="1">
        <w:r w:rsidR="00AB5B5A" w:rsidRPr="002B4E84">
          <w:rPr>
            <w:rStyle w:val="affa"/>
            <w:rFonts w:ascii="Times New Roman" w:hAnsi="Times New Roman"/>
          </w:rPr>
          <w:t>5.1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6BCEFFAB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8" w:history="1">
        <w:r w:rsidR="00AB5B5A" w:rsidRPr="002B4E84">
          <w:rPr>
            <w:rStyle w:val="affa"/>
            <w:rFonts w:ascii="Times New Roman" w:hAnsi="Times New Roman"/>
          </w:rPr>
          <w:t>5.2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37</w:t>
        </w:r>
        <w:r w:rsidR="00AB5B5A">
          <w:rPr>
            <w:webHidden/>
          </w:rPr>
          <w:fldChar w:fldCharType="end"/>
        </w:r>
      </w:hyperlink>
    </w:p>
    <w:p w14:paraId="7F33286C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9" w:history="1">
        <w:r w:rsidR="00AB5B5A" w:rsidRPr="002B4E84">
          <w:rPr>
            <w:rStyle w:val="affa"/>
            <w:rFonts w:ascii="Times New Roman" w:hAnsi="Times New Roman"/>
          </w:rPr>
          <w:t>5.3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39</w:t>
        </w:r>
        <w:r w:rsidR="00AB5B5A">
          <w:rPr>
            <w:webHidden/>
          </w:rPr>
          <w:fldChar w:fldCharType="end"/>
        </w:r>
      </w:hyperlink>
    </w:p>
    <w:p w14:paraId="68A2A740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0" w:history="1">
        <w:r w:rsidR="00AB5B5A" w:rsidRPr="002B4E84">
          <w:rPr>
            <w:rStyle w:val="affa"/>
            <w:rFonts w:ascii="Times New Roman" w:eastAsiaTheme="majorEastAsia" w:hAnsi="Times New Roman"/>
          </w:rPr>
          <w:t>6.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41</w:t>
        </w:r>
        <w:r w:rsidR="00AB5B5A">
          <w:rPr>
            <w:webHidden/>
          </w:rPr>
          <w:fldChar w:fldCharType="end"/>
        </w:r>
      </w:hyperlink>
    </w:p>
    <w:p w14:paraId="42F7315E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1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202DCB4D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2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17DD0EE2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3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1690B9A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4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492E6B45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5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14D613BB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6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73BFA25B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7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9C46A75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8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F34C57A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9" w:history="1">
        <w:r w:rsidR="00AB5B5A" w:rsidRPr="002B4E84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46888AEC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0" w:history="1">
        <w:r w:rsidR="00AB5B5A" w:rsidRPr="002B4E84">
          <w:rPr>
            <w:rStyle w:val="affa"/>
            <w:rFonts w:ascii="Times New Roman" w:eastAsiaTheme="majorEastAsia" w:hAnsi="Times New Roman"/>
          </w:rPr>
          <w:t>7.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7F466303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1" w:history="1">
        <w:r w:rsidR="00AB5B5A" w:rsidRPr="002B4E84">
          <w:rPr>
            <w:rStyle w:val="affa"/>
            <w:rFonts w:ascii="Times New Roman" w:hAnsi="Times New Roman"/>
          </w:rPr>
          <w:t>7.1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Заявка (форма 1)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4A515DC7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2" w:history="1">
        <w:r w:rsidR="00AB5B5A" w:rsidRPr="002B4E84">
          <w:rPr>
            <w:rStyle w:val="affa"/>
            <w:rFonts w:ascii="Times New Roman" w:hAnsi="Times New Roman"/>
          </w:rPr>
          <w:t>7.2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Техническое предложение (форма 2)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58</w:t>
        </w:r>
        <w:r w:rsidR="00AB5B5A">
          <w:rPr>
            <w:webHidden/>
          </w:rPr>
          <w:fldChar w:fldCharType="end"/>
        </w:r>
      </w:hyperlink>
    </w:p>
    <w:p w14:paraId="2E878684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3" w:history="1">
        <w:r w:rsidR="00AB5B5A" w:rsidRPr="002B4E84">
          <w:rPr>
            <w:rStyle w:val="affa"/>
            <w:rFonts w:ascii="Times New Roman" w:hAnsi="Times New Roman"/>
          </w:rPr>
          <w:t>7.3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60</w:t>
        </w:r>
        <w:r w:rsidR="00AB5B5A">
          <w:rPr>
            <w:webHidden/>
          </w:rPr>
          <w:fldChar w:fldCharType="end"/>
        </w:r>
      </w:hyperlink>
    </w:p>
    <w:p w14:paraId="20404D06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4" w:history="1">
        <w:r w:rsidR="00AB5B5A" w:rsidRPr="002B4E84">
          <w:rPr>
            <w:rStyle w:val="affa"/>
            <w:rFonts w:ascii="Times New Roman" w:hAnsi="Times New Roman"/>
          </w:rPr>
          <w:t>7.4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61</w:t>
        </w:r>
        <w:r w:rsidR="00AB5B5A">
          <w:rPr>
            <w:webHidden/>
          </w:rPr>
          <w:fldChar w:fldCharType="end"/>
        </w:r>
      </w:hyperlink>
    </w:p>
    <w:p w14:paraId="5DD79534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5" w:history="1">
        <w:r w:rsidR="00AB5B5A" w:rsidRPr="002B4E84">
          <w:rPr>
            <w:rStyle w:val="affa"/>
            <w:rFonts w:ascii="Times New Roman" w:hAnsi="Times New Roman"/>
          </w:rPr>
          <w:t>7.5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63</w:t>
        </w:r>
        <w:r w:rsidR="00AB5B5A">
          <w:rPr>
            <w:webHidden/>
          </w:rPr>
          <w:fldChar w:fldCharType="end"/>
        </w:r>
      </w:hyperlink>
    </w:p>
    <w:p w14:paraId="3283C44F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6" w:history="1">
        <w:r w:rsidR="00AB5B5A" w:rsidRPr="002B4E84">
          <w:rPr>
            <w:rStyle w:val="affa"/>
            <w:rFonts w:ascii="Times New Roman" w:hAnsi="Times New Roman"/>
          </w:rPr>
          <w:t>7.6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Ценовое предложение (форма 6)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67</w:t>
        </w:r>
        <w:r w:rsidR="00AB5B5A">
          <w:rPr>
            <w:webHidden/>
          </w:rPr>
          <w:fldChar w:fldCharType="end"/>
        </w:r>
      </w:hyperlink>
    </w:p>
    <w:p w14:paraId="040ECB11" w14:textId="77777777" w:rsidR="00AB5B5A" w:rsidRDefault="0070590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7" w:history="1">
        <w:r w:rsidR="00AB5B5A" w:rsidRPr="002B4E84">
          <w:rPr>
            <w:rStyle w:val="affa"/>
            <w:rFonts w:ascii="Times New Roman" w:hAnsi="Times New Roman"/>
          </w:rPr>
          <w:t>7.7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Коммерческое предложение (форма 7)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68</w:t>
        </w:r>
        <w:r w:rsidR="00AB5B5A">
          <w:rPr>
            <w:webHidden/>
          </w:rPr>
          <w:fldChar w:fldCharType="end"/>
        </w:r>
      </w:hyperlink>
    </w:p>
    <w:p w14:paraId="4690FFC6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8" w:history="1">
        <w:r w:rsidR="00AB5B5A" w:rsidRPr="002B4E84">
          <w:rPr>
            <w:rStyle w:val="affa"/>
            <w:rFonts w:ascii="Times New Roman" w:hAnsi="Times New Roman"/>
          </w:rPr>
          <w:t>8.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ПРОЕКТ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69</w:t>
        </w:r>
        <w:r w:rsidR="00AB5B5A">
          <w:rPr>
            <w:webHidden/>
          </w:rPr>
          <w:fldChar w:fldCharType="end"/>
        </w:r>
      </w:hyperlink>
    </w:p>
    <w:p w14:paraId="43B13C66" w14:textId="77777777" w:rsidR="00AB5B5A" w:rsidRDefault="0070590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9" w:history="1">
        <w:r w:rsidR="00AB5B5A" w:rsidRPr="002B4E84">
          <w:rPr>
            <w:rStyle w:val="affa"/>
            <w:rFonts w:ascii="Times New Roman" w:hAnsi="Times New Roman"/>
          </w:rPr>
          <w:t>9.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70</w:t>
        </w:r>
        <w:r w:rsidR="00AB5B5A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25814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25814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25814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25814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25815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25815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25815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25815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25815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AB5B5A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25815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25815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25815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25815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25815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25816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258161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258162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258163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258164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25816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258166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AB5B5A" w:rsidRPr="00AB5B5A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258167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 w:rsidRPr="00AB5B5A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258168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258169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AB5B5A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258170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25817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258172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258173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25817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258175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258176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25817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AB5B5A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258178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AB5B5A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25817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258180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D43D480" w:rsidR="0075298C" w:rsidRPr="007C18BC" w:rsidRDefault="00376E5B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376E5B">
              <w:rPr>
                <w:rFonts w:ascii="Times New Roman" w:hAnsi="Times New Roman" w:hint="eastAsia"/>
                <w:bCs/>
                <w:sz w:val="24"/>
              </w:rPr>
              <w:t>Оказание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услуги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по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ремонту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мягкой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кровли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3-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х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жилых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корпусов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ЦДО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им</w:t>
            </w:r>
            <w:r w:rsidRPr="00376E5B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376E5B">
              <w:rPr>
                <w:rFonts w:ascii="Times New Roman" w:hAnsi="Times New Roman" w:hint="eastAsia"/>
                <w:bCs/>
                <w:sz w:val="24"/>
              </w:rPr>
              <w:t>Гагарина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0E1FE059" w:rsidR="00A710AF" w:rsidRPr="007C18BC" w:rsidRDefault="0075298C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0570-2020-00045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CC0E312" w:rsidR="00875D33" w:rsidRPr="0066034A" w:rsidRDefault="00376E5B" w:rsidP="0066034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482 233</w:t>
            </w:r>
            <w:r w:rsidR="00870A7E">
              <w:rPr>
                <w:rFonts w:ascii="Times New Roman" w:hAnsi="Times New Roman"/>
                <w:sz w:val="24"/>
              </w:rPr>
              <w:t xml:space="preserve"> (ч</w:t>
            </w:r>
            <w:r>
              <w:rPr>
                <w:rFonts w:ascii="Times New Roman" w:hAnsi="Times New Roman"/>
                <w:sz w:val="24"/>
              </w:rPr>
              <w:t xml:space="preserve">етыреста восемьдесят две тысячи двести тридцать три) рубля </w:t>
            </w:r>
            <w:r w:rsidRPr="00376E5B">
              <w:rPr>
                <w:rFonts w:ascii="Times New Roman" w:hAnsi="Times New Roman"/>
                <w:b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 xml:space="preserve"> коп.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1C5F382F" w:rsidR="00C55816" w:rsidRPr="007C18BC" w:rsidRDefault="00C55816" w:rsidP="00376E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376E5B" w:rsidRPr="00376E5B">
              <w:rPr>
                <w:rFonts w:ascii="Times New Roman" w:hAnsi="Times New Roman"/>
                <w:sz w:val="24"/>
              </w:rPr>
              <w:t>Саратовская область Аткарский район с. Лисичкино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FB05D69" w:rsidR="00C55816" w:rsidRPr="0066034A" w:rsidRDefault="00376E5B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 w:rsidRPr="00376E5B">
              <w:rPr>
                <w:rFonts w:ascii="Times New Roman" w:hAnsi="Times New Roman"/>
                <w:bCs/>
                <w:iCs/>
                <w:sz w:val="24"/>
              </w:rPr>
              <w:t xml:space="preserve">Подрядчик обязуется выполнить работы и обеспечить исполнение обязательств по настоящему Договору </w:t>
            </w:r>
            <w:r w:rsidRPr="00376E5B">
              <w:rPr>
                <w:rFonts w:ascii="Times New Roman" w:hAnsi="Times New Roman"/>
                <w:iCs/>
                <w:sz w:val="24"/>
              </w:rPr>
              <w:t>в  течение 30 (тридцати) календарных дней с  даты  подписания договора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0DE20A0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7BF526D2" w:rsidR="006E7B2B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«15» 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«25</w:t>
            </w:r>
            <w:r w:rsidR="00214A88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>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E76C2CA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E417A9">
              <w:rPr>
                <w:rFonts w:ascii="Times New Roman" w:hAnsi="Times New Roman"/>
                <w:bCs/>
                <w:sz w:val="24"/>
              </w:rPr>
              <w:t>, предоставляются с «15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E417A9">
              <w:rPr>
                <w:rFonts w:ascii="Times New Roman" w:hAnsi="Times New Roman"/>
                <w:bCs/>
                <w:sz w:val="24"/>
              </w:rPr>
              <w:t>мая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E417A9">
              <w:rPr>
                <w:rFonts w:ascii="Times New Roman" w:hAnsi="Times New Roman"/>
                <w:bCs/>
                <w:sz w:val="24"/>
              </w:rPr>
              <w:t>по «21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E417A9">
              <w:rPr>
                <w:rFonts w:ascii="Times New Roman" w:hAnsi="Times New Roman"/>
                <w:bCs/>
                <w:sz w:val="24"/>
              </w:rPr>
              <w:t>мая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0E3F3DEF" w:rsidR="00C55816" w:rsidRPr="007C18BC" w:rsidRDefault="00E417A9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«28» мая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38AF67D" w:rsidR="00255D76" w:rsidRPr="00DC778A" w:rsidRDefault="00E417A9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«02» июня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258181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25818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258183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25818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258185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25818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AB5B5A">
              <w:rPr>
                <w:rFonts w:ascii="Times New Roman" w:hAnsi="Times New Roman"/>
                <w:sz w:val="24"/>
              </w:rPr>
              <w:t>1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2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4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AB5B5A" w:rsidRPr="00211527">
              <w:rPr>
                <w:rFonts w:ascii="Times New Roman" w:hAnsi="Times New Roman"/>
                <w:sz w:val="24"/>
              </w:rPr>
              <w:t>(форма </w:t>
            </w:r>
            <w:r w:rsidR="00AB5B5A">
              <w:rPr>
                <w:rFonts w:ascii="Times New Roman" w:hAnsi="Times New Roman"/>
                <w:sz w:val="24"/>
              </w:rPr>
              <w:t>6</w:t>
            </w:r>
            <w:r w:rsidR="00AB5B5A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7</w:t>
            </w:r>
            <w:r w:rsidR="00AB5B5A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258187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25818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8" w:name="_Toc188292"/>
      <w:bookmarkStart w:id="659" w:name="_Toc40258189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8"/>
      <w:bookmarkEnd w:id="659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60" w:name="_Ref414276712"/>
      <w:bookmarkStart w:id="661" w:name="_Ref414291069"/>
      <w:bookmarkStart w:id="662" w:name="_Toc415874697"/>
      <w:bookmarkStart w:id="663" w:name="_Ref314161369"/>
      <w:bookmarkStart w:id="664" w:name="_Toc40258190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60"/>
      <w:bookmarkEnd w:id="661"/>
      <w:bookmarkEnd w:id="662"/>
      <w:bookmarkEnd w:id="663"/>
      <w:bookmarkEnd w:id="664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5" w:name="_Ref55336310"/>
      <w:bookmarkStart w:id="666" w:name="_Toc57314672"/>
      <w:bookmarkStart w:id="667" w:name="_Toc69728986"/>
      <w:bookmarkStart w:id="668" w:name="_Toc311975353"/>
      <w:bookmarkStart w:id="669" w:name="_Toc415874698"/>
      <w:bookmarkStart w:id="670" w:name="_Toc4025819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71" w:name="_Ref22846535"/>
      <w:r w:rsidR="00C954B9" w:rsidRPr="007C18BC">
        <w:rPr>
          <w:rFonts w:ascii="Times New Roman" w:hAnsi="Times New Roman"/>
          <w:sz w:val="24"/>
        </w:rPr>
        <w:t>(</w:t>
      </w:r>
      <w:bookmarkEnd w:id="671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5"/>
      <w:bookmarkEnd w:id="666"/>
      <w:bookmarkEnd w:id="667"/>
      <w:bookmarkEnd w:id="668"/>
      <w:bookmarkEnd w:id="669"/>
      <w:bookmarkEnd w:id="670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2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2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70F7E6DE" w14:textId="77777777" w:rsidR="00376E5B" w:rsidRPr="00376E5B" w:rsidRDefault="00C954B9" w:rsidP="00376E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376E5B" w:rsidRPr="00376E5B">
        <w:rPr>
          <w:rFonts w:ascii="Times New Roman" w:hAnsi="Times New Roman"/>
          <w:sz w:val="24"/>
          <w:szCs w:val="24"/>
        </w:rPr>
        <w:t>Оказание услуги по ремонту мягкой кровли 3-х жилых корпусов ЦДО им. Гагарина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3" w:name="_Hlt440565644"/>
      <w:bookmarkEnd w:id="673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4" w:name="_Toc311975355"/>
      <w:bookmarkStart w:id="675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6" w:name="_Toc418282194"/>
      <w:bookmarkStart w:id="677" w:name="_Toc418282195"/>
      <w:bookmarkStart w:id="678" w:name="_Toc418282197"/>
      <w:bookmarkStart w:id="679" w:name="_Ref314250951"/>
      <w:bookmarkStart w:id="680" w:name="_Toc415874700"/>
      <w:bookmarkStart w:id="681" w:name="_Toc431493111"/>
      <w:bookmarkStart w:id="682" w:name="_Toc434234851"/>
      <w:bookmarkStart w:id="683" w:name="_Toc40258192"/>
      <w:bookmarkStart w:id="684" w:name="_Ref55335821"/>
      <w:bookmarkStart w:id="685" w:name="_Ref55336345"/>
      <w:bookmarkStart w:id="686" w:name="_Toc57314674"/>
      <w:bookmarkStart w:id="687" w:name="_Toc69728988"/>
      <w:bookmarkStart w:id="688" w:name="_Toc311975356"/>
      <w:bookmarkStart w:id="689" w:name="_Toc311975364"/>
      <w:bookmarkEnd w:id="674"/>
      <w:bookmarkEnd w:id="676"/>
      <w:bookmarkEnd w:id="677"/>
      <w:bookmarkEnd w:id="678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9"/>
      <w:bookmarkEnd w:id="680"/>
      <w:bookmarkEnd w:id="681"/>
      <w:bookmarkEnd w:id="682"/>
      <w:bookmarkEnd w:id="683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90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90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C807EB8" w14:textId="0E9E0245" w:rsidR="005A25C9" w:rsidRPr="009747BC" w:rsidRDefault="005A25C9" w:rsidP="005A25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91" w:name="_Toc418282201"/>
      <w:bookmarkStart w:id="692" w:name="_Toc418282202"/>
      <w:bookmarkStart w:id="693" w:name="_Toc418282203"/>
      <w:bookmarkStart w:id="694" w:name="_Toc418282208"/>
      <w:bookmarkStart w:id="695" w:name="_Toc418282210"/>
      <w:bookmarkStart w:id="696" w:name="_Toc418282211"/>
      <w:bookmarkStart w:id="697" w:name="_Toc418282215"/>
      <w:bookmarkStart w:id="698" w:name="_Toc418282217"/>
      <w:bookmarkStart w:id="699" w:name="_Hlt22846931"/>
      <w:bookmarkStart w:id="700" w:name="_Toc418282220"/>
      <w:bookmarkStart w:id="701" w:name="_Toc418282222"/>
      <w:bookmarkStart w:id="702" w:name="_Toc418282225"/>
      <w:bookmarkStart w:id="703" w:name="_Toc418282229"/>
      <w:bookmarkStart w:id="704" w:name="_Toc418282236"/>
      <w:bookmarkEnd w:id="675"/>
      <w:bookmarkEnd w:id="684"/>
      <w:bookmarkEnd w:id="685"/>
      <w:bookmarkEnd w:id="686"/>
      <w:bookmarkEnd w:id="687"/>
      <w:bookmarkEnd w:id="688"/>
      <w:bookmarkEnd w:id="689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5" w:name="_Toc418282241"/>
      <w:bookmarkStart w:id="706" w:name="_Ref90381523"/>
      <w:bookmarkStart w:id="707" w:name="_Toc90385124"/>
      <w:bookmarkStart w:id="708" w:name="_Ref93268095"/>
      <w:bookmarkStart w:id="709" w:name="_Ref93268099"/>
      <w:bookmarkStart w:id="710" w:name="_Toc311975390"/>
      <w:bookmarkStart w:id="711" w:name="_Toc415874708"/>
      <w:bookmarkStart w:id="712" w:name="_Toc40258193"/>
      <w:bookmarkEnd w:id="705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6"/>
      <w:bookmarkEnd w:id="707"/>
      <w:bookmarkEnd w:id="708"/>
      <w:bookmarkEnd w:id="709"/>
      <w:bookmarkEnd w:id="710"/>
      <w:bookmarkEnd w:id="711"/>
      <w:bookmarkEnd w:id="712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3" w:name="_Toc90385125"/>
      <w:bookmarkStart w:id="714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3"/>
      <w:bookmarkEnd w:id="714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Ref419730103"/>
      <w:bookmarkStart w:id="716" w:name="_Toc4025819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5"/>
      <w:bookmarkEnd w:id="716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7" w:name="_Toc418282248"/>
      <w:bookmarkStart w:id="718" w:name="_Toc418282252"/>
      <w:bookmarkStart w:id="719" w:name="_Toc415874709"/>
      <w:bookmarkStart w:id="720" w:name="_Toc415874710"/>
      <w:bookmarkStart w:id="721" w:name="_Toc415874711"/>
      <w:bookmarkStart w:id="722" w:name="_Toc415874712"/>
      <w:bookmarkStart w:id="723" w:name="_Toc415874713"/>
      <w:bookmarkStart w:id="724" w:name="_Toc415874714"/>
      <w:bookmarkStart w:id="725" w:name="_Toc415874715"/>
      <w:bookmarkStart w:id="726" w:name="_Toc415874722"/>
      <w:bookmarkStart w:id="727" w:name="_Toc415874729"/>
      <w:bookmarkStart w:id="728" w:name="_Toc415874736"/>
      <w:bookmarkStart w:id="729" w:name="_Toc415874743"/>
      <w:bookmarkStart w:id="730" w:name="_Toc415874762"/>
      <w:bookmarkStart w:id="731" w:name="_Toc415874763"/>
      <w:bookmarkStart w:id="732" w:name="_Toc415874764"/>
      <w:bookmarkStart w:id="733" w:name="_Toc415874765"/>
      <w:bookmarkStart w:id="734" w:name="_Toc415874766"/>
      <w:bookmarkStart w:id="735" w:name="_Toc415874767"/>
      <w:bookmarkStart w:id="736" w:name="_Toc415874768"/>
      <w:bookmarkStart w:id="737" w:name="_Toc415874769"/>
      <w:bookmarkStart w:id="738" w:name="_Toc415874770"/>
      <w:bookmarkStart w:id="739" w:name="_Toc415874771"/>
      <w:bookmarkStart w:id="740" w:name="_Toc415874772"/>
      <w:bookmarkStart w:id="741" w:name="_Toc415874773"/>
      <w:bookmarkStart w:id="742" w:name="_Toc415874774"/>
      <w:bookmarkStart w:id="743" w:name="_Toc415874775"/>
      <w:bookmarkStart w:id="744" w:name="_Toc415874776"/>
      <w:bookmarkStart w:id="745" w:name="_Ref415499744"/>
      <w:bookmarkStart w:id="746" w:name="_Ref415873971"/>
      <w:bookmarkStart w:id="747" w:name="_Toc415874777"/>
      <w:bookmarkStart w:id="748" w:name="_Ref418276143"/>
      <w:bookmarkStart w:id="749" w:name="_Toc40258195"/>
      <w:bookmarkStart w:id="750" w:name="_Toc411280037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5"/>
      <w:bookmarkEnd w:id="746"/>
      <w:bookmarkEnd w:id="747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8"/>
      <w:bookmarkEnd w:id="749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50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51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51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2" w:name="_Ref525592686"/>
      <w:bookmarkStart w:id="753" w:name="_Ref525592709"/>
      <w:bookmarkStart w:id="754" w:name="_Ref525592964"/>
      <w:bookmarkStart w:id="755" w:name="_Ref525592974"/>
      <w:bookmarkStart w:id="756" w:name="_Ref525634168"/>
      <w:bookmarkStart w:id="757" w:name="_Toc526926104"/>
      <w:bookmarkStart w:id="758" w:name="_Toc40258196"/>
      <w:bookmarkStart w:id="759" w:name="_Ref313447467"/>
      <w:bookmarkStart w:id="760" w:name="_Ref313450486"/>
      <w:bookmarkStart w:id="761" w:name="_Ref313450499"/>
      <w:bookmarkStart w:id="762" w:name="_Ref314100122"/>
      <w:bookmarkStart w:id="763" w:name="_Ref314100248"/>
      <w:bookmarkStart w:id="764" w:name="_Ref314100448"/>
      <w:bookmarkStart w:id="765" w:name="_Ref314100664"/>
      <w:bookmarkStart w:id="766" w:name="_Ref314100672"/>
      <w:bookmarkStart w:id="767" w:name="_Ref314100707"/>
      <w:bookmarkStart w:id="768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2"/>
      <w:bookmarkEnd w:id="753"/>
      <w:bookmarkEnd w:id="754"/>
      <w:bookmarkEnd w:id="755"/>
      <w:bookmarkEnd w:id="756"/>
      <w:bookmarkEnd w:id="757"/>
      <w:bookmarkEnd w:id="758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9" w:name="_Ref526955090"/>
      <w:bookmarkStart w:id="770" w:name="_Ref526955091"/>
      <w:bookmarkStart w:id="771" w:name="_Toc40258197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9"/>
      <w:bookmarkEnd w:id="770"/>
      <w:bookmarkEnd w:id="771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78060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78060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78060A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78060A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78060A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78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78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2" w:name="_Ref526853887"/>
      <w:bookmarkStart w:id="773" w:name="_Toc40258198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72"/>
      <w:bookmarkEnd w:id="773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4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5" w:name="_Ref313447456"/>
      <w:bookmarkStart w:id="776" w:name="_Ref313447487"/>
      <w:bookmarkStart w:id="777" w:name="_Ref414042300"/>
      <w:bookmarkStart w:id="778" w:name="_Ref414042605"/>
      <w:bookmarkStart w:id="779" w:name="_Toc415874780"/>
      <w:bookmarkStart w:id="780" w:name="_Toc40258199"/>
      <w:r w:rsidRPr="007C18BC">
        <w:rPr>
          <w:rFonts w:ascii="Times New Roman" w:hAnsi="Times New Roman"/>
          <w:sz w:val="24"/>
        </w:rPr>
        <w:t>Т</w:t>
      </w:r>
      <w:bookmarkEnd w:id="774"/>
      <w:bookmarkEnd w:id="775"/>
      <w:bookmarkEnd w:id="776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7"/>
      <w:bookmarkEnd w:id="778"/>
      <w:bookmarkEnd w:id="779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80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E73D" w14:textId="77777777" w:rsidR="00705907" w:rsidRDefault="00705907" w:rsidP="00BE4551">
      <w:pPr>
        <w:spacing w:after="0" w:line="240" w:lineRule="auto"/>
      </w:pPr>
      <w:r>
        <w:separator/>
      </w:r>
    </w:p>
  </w:endnote>
  <w:endnote w:type="continuationSeparator" w:id="0">
    <w:p w14:paraId="6E383975" w14:textId="77777777" w:rsidR="00705907" w:rsidRDefault="00705907" w:rsidP="00BE4551">
      <w:pPr>
        <w:spacing w:after="0" w:line="240" w:lineRule="auto"/>
      </w:pPr>
      <w:r>
        <w:continuationSeparator/>
      </w:r>
    </w:p>
  </w:endnote>
  <w:endnote w:type="continuationNotice" w:id="1">
    <w:p w14:paraId="10026201" w14:textId="77777777" w:rsidR="00705907" w:rsidRDefault="00705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376E5B" w:rsidRPr="00A1776F" w:rsidRDefault="00376E5B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75936"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376E5B" w:rsidRPr="0032691D" w:rsidRDefault="00376E5B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7593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376E5B" w:rsidRPr="00744924" w:rsidRDefault="00376E5B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B5B5A">
      <w:rPr>
        <w:bCs/>
        <w:noProof/>
      </w:rPr>
      <w:t>67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5AE5" w14:textId="77777777" w:rsidR="00705907" w:rsidRDefault="00705907" w:rsidP="00BE4551">
      <w:pPr>
        <w:spacing w:after="0" w:line="240" w:lineRule="auto"/>
      </w:pPr>
      <w:r>
        <w:separator/>
      </w:r>
    </w:p>
  </w:footnote>
  <w:footnote w:type="continuationSeparator" w:id="0">
    <w:p w14:paraId="006D92E7" w14:textId="77777777" w:rsidR="00705907" w:rsidRDefault="00705907" w:rsidP="00BE4551">
      <w:pPr>
        <w:spacing w:after="0" w:line="240" w:lineRule="auto"/>
      </w:pPr>
      <w:r>
        <w:continuationSeparator/>
      </w:r>
    </w:p>
  </w:footnote>
  <w:footnote w:type="continuationNotice" w:id="1">
    <w:p w14:paraId="27A5F713" w14:textId="77777777" w:rsidR="00705907" w:rsidRDefault="00705907">
      <w:pPr>
        <w:spacing w:after="0" w:line="240" w:lineRule="auto"/>
      </w:pPr>
    </w:p>
  </w:footnote>
  <w:footnote w:id="2">
    <w:p w14:paraId="63CEC5E2" w14:textId="7EA7BC69" w:rsidR="00376E5B" w:rsidRPr="0067066B" w:rsidRDefault="00376E5B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376E5B" w:rsidRDefault="00376E5B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376E5B" w:rsidRDefault="00376E5B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376E5B" w:rsidRDefault="00376E5B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376E5B" w:rsidRPr="002951D9" w:rsidRDefault="00376E5B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376E5B" w:rsidRPr="007C18BC" w:rsidRDefault="00376E5B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376E5B" w:rsidRDefault="00376E5B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376E5B" w:rsidRDefault="00376E5B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376E5B" w:rsidRPr="007C18BC" w:rsidRDefault="00376E5B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376E5B" w:rsidRPr="007C18BC" w:rsidRDefault="00376E5B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376E5B" w:rsidRPr="00710310" w:rsidRDefault="00376E5B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376E5B" w:rsidRPr="007C18BC" w:rsidRDefault="00376E5B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376E5B" w:rsidRPr="00012F73" w:rsidRDefault="00376E5B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376E5B" w:rsidRPr="00012F73" w:rsidRDefault="00376E5B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376E5B" w:rsidRDefault="00376E5B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376E5B" w:rsidRDefault="00376E5B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376E5B" w:rsidRPr="00EB5C02" w:rsidRDefault="00376E5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376E5B" w:rsidRPr="00EB5C02" w:rsidRDefault="00376E5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5936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907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1C3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2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BCFB-E8F9-459C-B4A8-CFA3A20F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23888</Words>
  <Characters>136164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2020-05-22T07:38:00Z</dcterms:created>
  <dcterms:modified xsi:type="dcterms:W3CDTF">2020-05-22T07:38:00Z</dcterms:modified>
</cp:coreProperties>
</file>